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AD4EC" w14:textId="5EEF0041" w:rsidR="005372E4" w:rsidRPr="00B643D7" w:rsidRDefault="005372E4" w:rsidP="00BA3B0A">
      <w:pPr>
        <w:spacing w:after="0" w:line="480" w:lineRule="auto"/>
        <w:jc w:val="center"/>
        <w:rPr>
          <w:rFonts w:eastAsia="Yu Mincho" w:cs="Times New Roman"/>
          <w:sz w:val="36"/>
          <w:szCs w:val="36"/>
        </w:rPr>
      </w:pPr>
      <w:r w:rsidRPr="00B643D7">
        <w:rPr>
          <w:rFonts w:eastAsia="Yu Mincho" w:cs="Times New Roman"/>
          <w:sz w:val="36"/>
          <w:szCs w:val="36"/>
        </w:rPr>
        <w:t>Chapter 1. Conceptual origins</w:t>
      </w:r>
    </w:p>
    <w:p w14:paraId="43BE5AE7" w14:textId="77777777" w:rsidR="00FA14D0" w:rsidRDefault="00FA14D0" w:rsidP="00A23564">
      <w:pPr>
        <w:spacing w:after="0" w:line="480" w:lineRule="auto"/>
        <w:rPr>
          <w:rFonts w:eastAsia="Yu Mincho" w:cs="Times New Roman"/>
        </w:rPr>
      </w:pPr>
    </w:p>
    <w:p w14:paraId="5B084A1F" w14:textId="13C87CEF" w:rsidR="007A2A33" w:rsidRDefault="00BA3B0A" w:rsidP="00A23564">
      <w:pPr>
        <w:spacing w:after="0" w:line="480" w:lineRule="auto"/>
        <w:rPr>
          <w:rFonts w:eastAsia="Calibri" w:cs="Times New Roman"/>
        </w:rPr>
      </w:pPr>
      <w:r>
        <w:rPr>
          <w:rFonts w:eastAsia="Yu Mincho" w:cs="Times New Roman"/>
        </w:rPr>
        <w:t xml:space="preserve">I begin </w:t>
      </w:r>
      <w:r w:rsidR="007A2A33">
        <w:rPr>
          <w:rFonts w:eastAsia="Yu Mincho" w:cs="Times New Roman"/>
        </w:rPr>
        <w:t xml:space="preserve">in 1719 </w:t>
      </w:r>
      <w:r>
        <w:rPr>
          <w:rFonts w:eastAsia="Yu Mincho" w:cs="Times New Roman"/>
        </w:rPr>
        <w:t xml:space="preserve">with a famous scene in </w:t>
      </w:r>
      <w:r w:rsidR="007A2A33">
        <w:rPr>
          <w:rFonts w:eastAsia="Yu Mincho" w:cs="Times New Roman"/>
        </w:rPr>
        <w:t xml:space="preserve">eighteenth-century </w:t>
      </w:r>
      <w:r w:rsidR="00055B80">
        <w:rPr>
          <w:rFonts w:eastAsia="Yu Mincho" w:cs="Times New Roman"/>
        </w:rPr>
        <w:t>fiction</w:t>
      </w:r>
      <w:r>
        <w:rPr>
          <w:rFonts w:eastAsia="Yu Mincho" w:cs="Times New Roman"/>
        </w:rPr>
        <w:t xml:space="preserve">, where Robinson Crusoe, burdened by his solitude on the island, devises a plan to </w:t>
      </w:r>
      <w:r w:rsidR="00765CDF">
        <w:rPr>
          <w:rFonts w:eastAsia="Yu Mincho" w:cs="Times New Roman"/>
        </w:rPr>
        <w:t>secure</w:t>
      </w:r>
      <w:r>
        <w:rPr>
          <w:rFonts w:eastAsia="Yu Mincho" w:cs="Times New Roman"/>
        </w:rPr>
        <w:t xml:space="preserve"> a companion. The next time a group of Caribs lands on the shore to devour a </w:t>
      </w:r>
      <w:r w:rsidR="00DF6C0F">
        <w:rPr>
          <w:rFonts w:eastAsia="Yu Mincho" w:cs="Times New Roman"/>
        </w:rPr>
        <w:t>prisoner</w:t>
      </w:r>
      <w:r>
        <w:rPr>
          <w:rFonts w:eastAsia="Yu Mincho" w:cs="Times New Roman"/>
        </w:rPr>
        <w:t xml:space="preserve">, Crusoe </w:t>
      </w:r>
      <w:r w:rsidR="00DF6C0F">
        <w:rPr>
          <w:rFonts w:eastAsia="Yu Mincho" w:cs="Times New Roman"/>
        </w:rPr>
        <w:t>decides</w:t>
      </w:r>
      <w:r>
        <w:rPr>
          <w:rFonts w:eastAsia="Yu Mincho" w:cs="Times New Roman"/>
        </w:rPr>
        <w:t>, he will wait atop a hill</w:t>
      </w:r>
      <w:r w:rsidR="00DF6C0F">
        <w:rPr>
          <w:rFonts w:eastAsia="Yu Mincho" w:cs="Times New Roman"/>
        </w:rPr>
        <w:t xml:space="preserve">, </w:t>
      </w:r>
      <w:r>
        <w:rPr>
          <w:rFonts w:eastAsia="Yu Mincho" w:cs="Times New Roman"/>
        </w:rPr>
        <w:t>shoot them dead</w:t>
      </w:r>
      <w:r w:rsidR="00DF6C0F">
        <w:rPr>
          <w:rFonts w:eastAsia="Yu Mincho" w:cs="Times New Roman"/>
        </w:rPr>
        <w:t>, and rescue the victim</w:t>
      </w:r>
      <w:r>
        <w:rPr>
          <w:rFonts w:eastAsia="Yu Mincho" w:cs="Times New Roman"/>
        </w:rPr>
        <w:t xml:space="preserve">. Months go by without any landing, and the </w:t>
      </w:r>
      <w:r w:rsidR="00DF42D4">
        <w:rPr>
          <w:rFonts w:eastAsia="Yu Mincho" w:cs="Times New Roman"/>
        </w:rPr>
        <w:t xml:space="preserve">solitary vigil awakens </w:t>
      </w:r>
      <w:r>
        <w:rPr>
          <w:rFonts w:eastAsia="Yu Mincho" w:cs="Times New Roman"/>
        </w:rPr>
        <w:t xml:space="preserve">scruples in Crusoe’s mind. </w:t>
      </w:r>
      <w:r w:rsidR="00F82C1F">
        <w:rPr>
          <w:rFonts w:eastAsia="Yu Mincho" w:cs="Times New Roman"/>
        </w:rPr>
        <w:t xml:space="preserve">He begins to question his detestation of cannibalism, wondering if eating human flesh is </w:t>
      </w:r>
      <w:r w:rsidR="00DF6C0F">
        <w:rPr>
          <w:rFonts w:eastAsia="Yu Mincho" w:cs="Times New Roman"/>
        </w:rPr>
        <w:t xml:space="preserve">really </w:t>
      </w:r>
      <w:r w:rsidR="00F82C1F">
        <w:rPr>
          <w:rFonts w:eastAsia="Yu Mincho" w:cs="Times New Roman"/>
        </w:rPr>
        <w:t xml:space="preserve">that different than eating mutton or executing war prisoners. </w:t>
      </w:r>
      <w:r w:rsidR="00F82C1F" w:rsidRPr="00C91A3D">
        <w:rPr>
          <w:rFonts w:eastAsia="Calibri" w:cs="Times New Roman"/>
        </w:rPr>
        <w:t>“How do I know</w:t>
      </w:r>
      <w:r w:rsidR="00F82C1F">
        <w:rPr>
          <w:rFonts w:eastAsia="Calibri" w:cs="Times New Roman"/>
        </w:rPr>
        <w:t>,” he asks, “</w:t>
      </w:r>
      <w:r w:rsidR="00F82C1F" w:rsidRPr="00C91A3D">
        <w:rPr>
          <w:rFonts w:eastAsia="Calibri" w:cs="Times New Roman"/>
        </w:rPr>
        <w:t xml:space="preserve">what God </w:t>
      </w:r>
      <w:r w:rsidR="00DF6C0F">
        <w:rPr>
          <w:rFonts w:eastAsia="Calibri" w:cs="Times New Roman"/>
        </w:rPr>
        <w:t>h</w:t>
      </w:r>
      <w:r w:rsidR="00F82C1F" w:rsidRPr="00C91A3D">
        <w:rPr>
          <w:rFonts w:eastAsia="Calibri" w:cs="Times New Roman"/>
        </w:rPr>
        <w:t>imself judges in this particular</w:t>
      </w:r>
      <w:r w:rsidR="00F82C1F">
        <w:rPr>
          <w:rFonts w:eastAsia="Calibri" w:cs="Times New Roman"/>
        </w:rPr>
        <w:t xml:space="preserve"> </w:t>
      </w:r>
      <w:r w:rsidR="00DF6C0F">
        <w:rPr>
          <w:rFonts w:eastAsia="Calibri" w:cs="Times New Roman"/>
        </w:rPr>
        <w:t>C</w:t>
      </w:r>
      <w:r w:rsidR="00F82C1F" w:rsidRPr="00C91A3D">
        <w:rPr>
          <w:rFonts w:eastAsia="Calibri" w:cs="Times New Roman"/>
        </w:rPr>
        <w:t xml:space="preserve">ase? It is certain these </w:t>
      </w:r>
      <w:r w:rsidR="00DF6C0F">
        <w:rPr>
          <w:rFonts w:eastAsia="Calibri" w:cs="Times New Roman"/>
        </w:rPr>
        <w:t>P</w:t>
      </w:r>
      <w:r w:rsidR="00F82C1F" w:rsidRPr="00C91A3D">
        <w:rPr>
          <w:rFonts w:eastAsia="Calibri" w:cs="Times New Roman"/>
        </w:rPr>
        <w:t xml:space="preserve">eople </w:t>
      </w:r>
      <w:r w:rsidR="00DF6C0F">
        <w:rPr>
          <w:rFonts w:eastAsia="Calibri" w:cs="Times New Roman"/>
        </w:rPr>
        <w:t xml:space="preserve">either </w:t>
      </w:r>
      <w:r w:rsidR="00F82C1F" w:rsidRPr="00C91A3D">
        <w:rPr>
          <w:rFonts w:eastAsia="Calibri" w:cs="Times New Roman"/>
        </w:rPr>
        <w:t xml:space="preserve">do not commit this as a crime; it is not against their own </w:t>
      </w:r>
      <w:r w:rsidR="00DF6C0F">
        <w:rPr>
          <w:rFonts w:eastAsia="Calibri" w:cs="Times New Roman"/>
        </w:rPr>
        <w:t>C</w:t>
      </w:r>
      <w:r w:rsidR="00F82C1F" w:rsidRPr="00C91A3D">
        <w:rPr>
          <w:rFonts w:eastAsia="Calibri" w:cs="Times New Roman"/>
        </w:rPr>
        <w:t xml:space="preserve">onsciences reproving, or their </w:t>
      </w:r>
      <w:r w:rsidR="00DF6C0F">
        <w:rPr>
          <w:rFonts w:eastAsia="Calibri" w:cs="Times New Roman"/>
        </w:rPr>
        <w:t>L</w:t>
      </w:r>
      <w:r w:rsidR="00F82C1F" w:rsidRPr="00C91A3D">
        <w:rPr>
          <w:rFonts w:eastAsia="Calibri" w:cs="Times New Roman"/>
        </w:rPr>
        <w:t>ight reproaching them</w:t>
      </w:r>
      <w:r w:rsidR="00F82C1F">
        <w:rPr>
          <w:rFonts w:eastAsia="Calibri" w:cs="Times New Roman"/>
        </w:rPr>
        <w:t>.”</w:t>
      </w:r>
      <w:r w:rsidR="00DF6C0F">
        <w:rPr>
          <w:rStyle w:val="FootnoteReference"/>
          <w:rFonts w:eastAsia="Calibri" w:cs="Times New Roman"/>
        </w:rPr>
        <w:footnoteReference w:id="1"/>
      </w:r>
      <w:r w:rsidR="00F82C1F">
        <w:rPr>
          <w:rFonts w:eastAsia="Calibri" w:cs="Times New Roman"/>
        </w:rPr>
        <w:t xml:space="preserve"> </w:t>
      </w:r>
      <w:r w:rsidR="009D6CDA">
        <w:rPr>
          <w:rFonts w:eastAsia="Calibri" w:cs="Times New Roman"/>
        </w:rPr>
        <w:t>In addition</w:t>
      </w:r>
      <w:r w:rsidR="0067038A">
        <w:rPr>
          <w:rFonts w:eastAsia="Calibri" w:cs="Times New Roman"/>
        </w:rPr>
        <w:t>, they</w:t>
      </w:r>
      <w:r w:rsidR="00A23564">
        <w:rPr>
          <w:rFonts w:eastAsia="Calibri" w:cs="Times New Roman"/>
        </w:rPr>
        <w:t xml:space="preserve"> had done him no harm, and to fall upon them would be to act like the Spanish towards their Native American victims. “</w:t>
      </w:r>
      <w:r w:rsidR="00A23564" w:rsidRPr="00C91A3D">
        <w:rPr>
          <w:rFonts w:eastAsia="Calibri" w:cs="Times New Roman"/>
        </w:rPr>
        <w:t xml:space="preserve">When I </w:t>
      </w:r>
      <w:r w:rsidR="00DF6C0F">
        <w:rPr>
          <w:rFonts w:eastAsia="Calibri" w:cs="Times New Roman"/>
        </w:rPr>
        <w:t xml:space="preserve">had </w:t>
      </w:r>
      <w:proofErr w:type="spellStart"/>
      <w:r w:rsidR="00A23564" w:rsidRPr="00C91A3D">
        <w:rPr>
          <w:rFonts w:eastAsia="Calibri" w:cs="Times New Roman"/>
        </w:rPr>
        <w:t>consider</w:t>
      </w:r>
      <w:r w:rsidR="00DF6C0F">
        <w:rPr>
          <w:rFonts w:eastAsia="Calibri" w:cs="Times New Roman"/>
        </w:rPr>
        <w:t>’</w:t>
      </w:r>
      <w:r w:rsidR="00A23564" w:rsidRPr="00C91A3D">
        <w:rPr>
          <w:rFonts w:eastAsia="Calibri" w:cs="Times New Roman"/>
        </w:rPr>
        <w:t>d</w:t>
      </w:r>
      <w:proofErr w:type="spellEnd"/>
      <w:r w:rsidR="00A23564" w:rsidRPr="00C91A3D">
        <w:rPr>
          <w:rFonts w:eastAsia="Calibri" w:cs="Times New Roman"/>
        </w:rPr>
        <w:t xml:space="preserve"> this a little, </w:t>
      </w:r>
      <w:proofErr w:type="gramStart"/>
      <w:r w:rsidR="00A23564" w:rsidRPr="00C91A3D">
        <w:rPr>
          <w:rFonts w:eastAsia="Calibri" w:cs="Times New Roman"/>
        </w:rPr>
        <w:t>it</w:t>
      </w:r>
      <w:proofErr w:type="gramEnd"/>
      <w:r w:rsidR="00A23564" w:rsidRPr="00C91A3D">
        <w:rPr>
          <w:rFonts w:eastAsia="Calibri" w:cs="Times New Roman"/>
        </w:rPr>
        <w:t xml:space="preserve"> </w:t>
      </w:r>
      <w:proofErr w:type="spellStart"/>
      <w:r w:rsidR="00A23564" w:rsidRPr="00C91A3D">
        <w:rPr>
          <w:rFonts w:eastAsia="Calibri" w:cs="Times New Roman"/>
        </w:rPr>
        <w:t>follow</w:t>
      </w:r>
      <w:r w:rsidR="00DF6C0F">
        <w:rPr>
          <w:rFonts w:eastAsia="Calibri" w:cs="Times New Roman"/>
        </w:rPr>
        <w:t>’</w:t>
      </w:r>
      <w:r w:rsidR="00A23564" w:rsidRPr="00C91A3D">
        <w:rPr>
          <w:rFonts w:eastAsia="Calibri" w:cs="Times New Roman"/>
        </w:rPr>
        <w:t>d</w:t>
      </w:r>
      <w:proofErr w:type="spellEnd"/>
      <w:r w:rsidR="00A23564" w:rsidRPr="00C91A3D">
        <w:rPr>
          <w:rFonts w:eastAsia="Calibri" w:cs="Times New Roman"/>
        </w:rPr>
        <w:t xml:space="preserve"> necessarily</w:t>
      </w:r>
      <w:r w:rsidR="00DF6C0F">
        <w:rPr>
          <w:rFonts w:eastAsia="Calibri" w:cs="Times New Roman"/>
        </w:rPr>
        <w:t>,</w:t>
      </w:r>
      <w:r w:rsidR="00A23564" w:rsidRPr="00C91A3D">
        <w:rPr>
          <w:rFonts w:eastAsia="Calibri" w:cs="Times New Roman"/>
        </w:rPr>
        <w:t xml:space="preserve"> that I was certainly in the </w:t>
      </w:r>
      <w:r w:rsidR="00DF6C0F">
        <w:rPr>
          <w:rFonts w:eastAsia="Calibri" w:cs="Times New Roman"/>
        </w:rPr>
        <w:t>W</w:t>
      </w:r>
      <w:r w:rsidR="00A23564" w:rsidRPr="00C91A3D">
        <w:rPr>
          <w:rFonts w:eastAsia="Calibri" w:cs="Times New Roman"/>
        </w:rPr>
        <w:t>rong</w:t>
      </w:r>
      <w:r w:rsidR="00DF6C0F">
        <w:rPr>
          <w:rFonts w:eastAsia="Calibri" w:cs="Times New Roman"/>
        </w:rPr>
        <w:t xml:space="preserve"> in it,</w:t>
      </w:r>
      <w:r w:rsidR="00A23564" w:rsidRPr="00C91A3D">
        <w:rPr>
          <w:rFonts w:eastAsia="Calibri" w:cs="Times New Roman"/>
        </w:rPr>
        <w:t xml:space="preserve"> that these </w:t>
      </w:r>
      <w:r w:rsidR="00DF6C0F">
        <w:rPr>
          <w:rFonts w:eastAsia="Calibri" w:cs="Times New Roman"/>
        </w:rPr>
        <w:t>P</w:t>
      </w:r>
      <w:r w:rsidR="00A23564" w:rsidRPr="00C91A3D">
        <w:rPr>
          <w:rFonts w:eastAsia="Calibri" w:cs="Times New Roman"/>
        </w:rPr>
        <w:t xml:space="preserve">eople were not </w:t>
      </w:r>
      <w:proofErr w:type="spellStart"/>
      <w:r w:rsidR="00DF6C0F">
        <w:rPr>
          <w:rFonts w:eastAsia="Calibri" w:cs="Times New Roman"/>
        </w:rPr>
        <w:t>Murtherers</w:t>
      </w:r>
      <w:proofErr w:type="spellEnd"/>
      <w:r w:rsidR="00A23564" w:rsidRPr="00C91A3D">
        <w:rPr>
          <w:rFonts w:eastAsia="Calibri" w:cs="Times New Roman"/>
        </w:rPr>
        <w:t xml:space="preserve"> in the </w:t>
      </w:r>
      <w:r w:rsidR="00DF6C0F">
        <w:rPr>
          <w:rFonts w:eastAsia="Calibri" w:cs="Times New Roman"/>
        </w:rPr>
        <w:t>S</w:t>
      </w:r>
      <w:r w:rsidR="00A23564" w:rsidRPr="00C91A3D">
        <w:rPr>
          <w:rFonts w:eastAsia="Calibri" w:cs="Times New Roman"/>
        </w:rPr>
        <w:t xml:space="preserve">ense that I had before </w:t>
      </w:r>
      <w:proofErr w:type="spellStart"/>
      <w:r w:rsidR="00A23564" w:rsidRPr="00C91A3D">
        <w:rPr>
          <w:rFonts w:eastAsia="Calibri" w:cs="Times New Roman"/>
        </w:rPr>
        <w:t>condemn</w:t>
      </w:r>
      <w:r w:rsidR="00DF6C0F">
        <w:rPr>
          <w:rFonts w:eastAsia="Calibri" w:cs="Times New Roman"/>
        </w:rPr>
        <w:t>’</w:t>
      </w:r>
      <w:r w:rsidR="00A23564" w:rsidRPr="00C91A3D">
        <w:rPr>
          <w:rFonts w:eastAsia="Calibri" w:cs="Times New Roman"/>
        </w:rPr>
        <w:t>d</w:t>
      </w:r>
      <w:proofErr w:type="spellEnd"/>
      <w:r w:rsidR="00A23564" w:rsidRPr="00C91A3D">
        <w:rPr>
          <w:rFonts w:eastAsia="Calibri" w:cs="Times New Roman"/>
        </w:rPr>
        <w:t xml:space="preserve"> them</w:t>
      </w:r>
      <w:r w:rsidR="00DF6C0F">
        <w:rPr>
          <w:rFonts w:eastAsia="Calibri" w:cs="Times New Roman"/>
        </w:rPr>
        <w:t>,</w:t>
      </w:r>
      <w:r w:rsidR="00A23564" w:rsidRPr="00C91A3D">
        <w:rPr>
          <w:rFonts w:eastAsia="Calibri" w:cs="Times New Roman"/>
        </w:rPr>
        <w:t xml:space="preserve"> in my </w:t>
      </w:r>
      <w:r w:rsidR="00DF6C0F">
        <w:rPr>
          <w:rFonts w:eastAsia="Calibri" w:cs="Times New Roman"/>
        </w:rPr>
        <w:t>T</w:t>
      </w:r>
      <w:r w:rsidR="00A23564" w:rsidRPr="00C91A3D">
        <w:rPr>
          <w:rFonts w:eastAsia="Calibri" w:cs="Times New Roman"/>
        </w:rPr>
        <w:t>houghts</w:t>
      </w:r>
      <w:r w:rsidR="00A23564">
        <w:rPr>
          <w:rFonts w:eastAsia="Calibri" w:cs="Times New Roman"/>
        </w:rPr>
        <w:t xml:space="preserve">.” </w:t>
      </w:r>
      <w:r w:rsidR="00DF6C0F">
        <w:rPr>
          <w:rFonts w:eastAsia="Calibri" w:cs="Times New Roman"/>
        </w:rPr>
        <w:t xml:space="preserve">They do </w:t>
      </w:r>
      <w:r w:rsidR="0067038A">
        <w:rPr>
          <w:rFonts w:eastAsia="Calibri" w:cs="Times New Roman"/>
        </w:rPr>
        <w:t>eat their prisoners</w:t>
      </w:r>
      <w:r w:rsidR="00DF6C0F">
        <w:rPr>
          <w:rFonts w:eastAsia="Calibri" w:cs="Times New Roman"/>
        </w:rPr>
        <w:t xml:space="preserve">, but Crusoe concludes </w:t>
      </w:r>
      <w:r w:rsidR="00227766">
        <w:rPr>
          <w:rFonts w:eastAsia="Calibri" w:cs="Times New Roman"/>
        </w:rPr>
        <w:t>it is not his business to judge</w:t>
      </w:r>
      <w:r w:rsidR="00F82C1F">
        <w:rPr>
          <w:rFonts w:eastAsia="Calibri" w:cs="Times New Roman"/>
        </w:rPr>
        <w:t>: “</w:t>
      </w:r>
      <w:r w:rsidR="00F82C1F" w:rsidRPr="00C91A3D">
        <w:rPr>
          <w:rFonts w:eastAsia="Calibri" w:cs="Times New Roman"/>
        </w:rPr>
        <w:t xml:space="preserve">As to the </w:t>
      </w:r>
      <w:r w:rsidR="00DF6C0F">
        <w:rPr>
          <w:rFonts w:eastAsia="Calibri" w:cs="Times New Roman"/>
        </w:rPr>
        <w:t>C</w:t>
      </w:r>
      <w:r w:rsidR="00F82C1F" w:rsidRPr="00C91A3D">
        <w:rPr>
          <w:rFonts w:eastAsia="Calibri" w:cs="Times New Roman"/>
        </w:rPr>
        <w:t xml:space="preserve">rimes they were guilty of towards one another, I had nothing to do with them; they were </w:t>
      </w:r>
      <w:r w:rsidR="00DF6C0F">
        <w:rPr>
          <w:rFonts w:eastAsia="Calibri" w:cs="Times New Roman"/>
        </w:rPr>
        <w:t>N</w:t>
      </w:r>
      <w:r w:rsidR="00F82C1F" w:rsidRPr="00C91A3D">
        <w:rPr>
          <w:rFonts w:eastAsia="Calibri" w:cs="Times New Roman"/>
        </w:rPr>
        <w:t xml:space="preserve">ational, and I ought to leave them to the </w:t>
      </w:r>
      <w:r w:rsidR="00DF6C0F">
        <w:rPr>
          <w:rFonts w:eastAsia="Calibri" w:cs="Times New Roman"/>
        </w:rPr>
        <w:t>J</w:t>
      </w:r>
      <w:r w:rsidR="00F82C1F" w:rsidRPr="00C91A3D">
        <w:rPr>
          <w:rFonts w:eastAsia="Calibri" w:cs="Times New Roman"/>
        </w:rPr>
        <w:t xml:space="preserve">ustice of God, who is the </w:t>
      </w:r>
      <w:proofErr w:type="spellStart"/>
      <w:r w:rsidR="00F82C1F" w:rsidRPr="00C91A3D">
        <w:rPr>
          <w:rFonts w:eastAsia="Calibri" w:cs="Times New Roman"/>
        </w:rPr>
        <w:t>Governo</w:t>
      </w:r>
      <w:r w:rsidR="00DF6C0F">
        <w:rPr>
          <w:rFonts w:eastAsia="Calibri" w:cs="Times New Roman"/>
        </w:rPr>
        <w:t>u</w:t>
      </w:r>
      <w:r w:rsidR="00F82C1F" w:rsidRPr="00C91A3D">
        <w:rPr>
          <w:rFonts w:eastAsia="Calibri" w:cs="Times New Roman"/>
        </w:rPr>
        <w:t>r</w:t>
      </w:r>
      <w:proofErr w:type="spellEnd"/>
      <w:r w:rsidR="00F82C1F" w:rsidRPr="00C91A3D">
        <w:rPr>
          <w:rFonts w:eastAsia="Calibri" w:cs="Times New Roman"/>
        </w:rPr>
        <w:t xml:space="preserve"> of </w:t>
      </w:r>
      <w:r w:rsidR="00DF6C0F">
        <w:rPr>
          <w:rFonts w:eastAsia="Calibri" w:cs="Times New Roman"/>
        </w:rPr>
        <w:t>N</w:t>
      </w:r>
      <w:r w:rsidR="00F82C1F" w:rsidRPr="00C91A3D">
        <w:rPr>
          <w:rFonts w:eastAsia="Calibri" w:cs="Times New Roman"/>
        </w:rPr>
        <w:t>ations</w:t>
      </w:r>
      <w:r w:rsidR="00F82C1F">
        <w:rPr>
          <w:rFonts w:eastAsia="Calibri" w:cs="Times New Roman"/>
        </w:rPr>
        <w:t>.”</w:t>
      </w:r>
      <w:r w:rsidR="00A23564">
        <w:rPr>
          <w:rStyle w:val="FootnoteReference"/>
          <w:rFonts w:eastAsia="Calibri" w:cs="Times New Roman"/>
        </w:rPr>
        <w:footnoteReference w:id="2"/>
      </w:r>
      <w:r w:rsidR="00F82C1F">
        <w:rPr>
          <w:rFonts w:eastAsia="Calibri" w:cs="Times New Roman"/>
        </w:rPr>
        <w:t xml:space="preserve"> </w:t>
      </w:r>
      <w:r w:rsidR="00FF60FA">
        <w:rPr>
          <w:rFonts w:eastAsia="Calibri" w:cs="Times New Roman"/>
        </w:rPr>
        <w:t xml:space="preserve">Such tolerant multiculturalism </w:t>
      </w:r>
      <w:r w:rsidR="00860BF3">
        <w:rPr>
          <w:rFonts w:eastAsia="Calibri" w:cs="Times New Roman"/>
        </w:rPr>
        <w:t>is not the dominant note with Daniel Defoe, who has appropriately been described as “a mercantilist and a gold bug, an apologist of trade, a philosopher of colonialism, and an imaginer of imperialism.”</w:t>
      </w:r>
      <w:r w:rsidR="00860BF3">
        <w:rPr>
          <w:rStyle w:val="FootnoteReference"/>
          <w:rFonts w:eastAsia="Calibri" w:cs="Times New Roman"/>
        </w:rPr>
        <w:footnoteReference w:id="3"/>
      </w:r>
      <w:r w:rsidR="00860BF3">
        <w:rPr>
          <w:rFonts w:eastAsia="Calibri" w:cs="Times New Roman"/>
        </w:rPr>
        <w:t xml:space="preserve"> But a</w:t>
      </w:r>
      <w:r w:rsidR="0067038A">
        <w:rPr>
          <w:rFonts w:eastAsia="Calibri" w:cs="Times New Roman"/>
        </w:rPr>
        <w:t xml:space="preserve">s we read these passages, we find ourselves in the presence of a familiar way of thinking: Defoe is challenging </w:t>
      </w:r>
      <w:r w:rsidR="0067038A">
        <w:rPr>
          <w:rFonts w:eastAsia="Calibri" w:cs="Times New Roman"/>
        </w:rPr>
        <w:lastRenderedPageBreak/>
        <w:t xml:space="preserve">readers to approach seemingly barbarous customs in a non-judgmental way, </w:t>
      </w:r>
      <w:r w:rsidR="00C76CAC">
        <w:rPr>
          <w:rFonts w:eastAsia="Calibri" w:cs="Times New Roman"/>
        </w:rPr>
        <w:t xml:space="preserve">by </w:t>
      </w:r>
      <w:r w:rsidR="00D12D8D">
        <w:rPr>
          <w:rFonts w:eastAsia="Calibri" w:cs="Times New Roman"/>
        </w:rPr>
        <w:t xml:space="preserve">putting on hold </w:t>
      </w:r>
      <w:r w:rsidR="00C76CAC">
        <w:rPr>
          <w:rFonts w:eastAsia="Calibri" w:cs="Times New Roman"/>
        </w:rPr>
        <w:t xml:space="preserve">convictions that may not apply </w:t>
      </w:r>
      <w:r w:rsidR="00AA2A8F">
        <w:rPr>
          <w:rFonts w:eastAsia="Calibri" w:cs="Times New Roman"/>
        </w:rPr>
        <w:t xml:space="preserve">off the shores of England, all the way across </w:t>
      </w:r>
      <w:r w:rsidR="009D6CDA">
        <w:rPr>
          <w:rFonts w:eastAsia="Calibri" w:cs="Times New Roman"/>
        </w:rPr>
        <w:t xml:space="preserve">the Atlantic. </w:t>
      </w:r>
      <w:r w:rsidR="00D12D8D">
        <w:rPr>
          <w:rFonts w:eastAsia="Calibri" w:cs="Times New Roman"/>
        </w:rPr>
        <w:t>He speaks like a cultural relativist.</w:t>
      </w:r>
    </w:p>
    <w:p w14:paraId="14DB7101" w14:textId="57781966" w:rsidR="00A05B31" w:rsidRDefault="007A2A33" w:rsidP="003E199B">
      <w:pPr>
        <w:spacing w:after="0" w:line="480" w:lineRule="auto"/>
        <w:rPr>
          <w:rFonts w:eastAsia="Calibri" w:cs="Times New Roman"/>
        </w:rPr>
      </w:pPr>
      <w:r>
        <w:rPr>
          <w:rFonts w:eastAsia="Calibri" w:cs="Times New Roman"/>
        </w:rPr>
        <w:tab/>
        <w:t xml:space="preserve">Readers of Montaigne would know that Defoe was </w:t>
      </w:r>
      <w:r w:rsidR="00355604">
        <w:rPr>
          <w:rFonts w:eastAsia="Calibri" w:cs="Times New Roman"/>
        </w:rPr>
        <w:t>drawing</w:t>
      </w:r>
      <w:r>
        <w:rPr>
          <w:rFonts w:eastAsia="Calibri" w:cs="Times New Roman"/>
        </w:rPr>
        <w:t xml:space="preserve"> on well-established precedents. Relativism had been imposing itself on European awareness since at least the late sixteenth century</w:t>
      </w:r>
      <w:r w:rsidR="00C10B43">
        <w:rPr>
          <w:rFonts w:eastAsia="Calibri" w:cs="Times New Roman"/>
        </w:rPr>
        <w:t xml:space="preserve">, </w:t>
      </w:r>
      <w:r>
        <w:rPr>
          <w:rFonts w:eastAsia="Calibri" w:cs="Times New Roman"/>
        </w:rPr>
        <w:t xml:space="preserve">stirring up concern in occasional quarters. The </w:t>
      </w:r>
      <w:r w:rsidR="001C5296">
        <w:rPr>
          <w:rFonts w:eastAsia="Calibri" w:cs="Times New Roman"/>
        </w:rPr>
        <w:t>polymath</w:t>
      </w:r>
      <w:r>
        <w:rPr>
          <w:rFonts w:eastAsia="Calibri" w:cs="Times New Roman"/>
        </w:rPr>
        <w:t xml:space="preserve"> Charles Sorel, best known for the libertine novel </w:t>
      </w:r>
      <w:proofErr w:type="spellStart"/>
      <w:r w:rsidR="000D58CF">
        <w:rPr>
          <w:rFonts w:eastAsia="Calibri" w:cs="Times New Roman"/>
          <w:i/>
          <w:iCs/>
        </w:rPr>
        <w:t>L’</w:t>
      </w:r>
      <w:r>
        <w:rPr>
          <w:rFonts w:eastAsia="Calibri" w:cs="Times New Roman"/>
          <w:i/>
          <w:iCs/>
        </w:rPr>
        <w:t>Histoire</w:t>
      </w:r>
      <w:proofErr w:type="spellEnd"/>
      <w:r>
        <w:rPr>
          <w:rFonts w:eastAsia="Calibri" w:cs="Times New Roman"/>
          <w:i/>
          <w:iCs/>
        </w:rPr>
        <w:t xml:space="preserve"> Comique de </w:t>
      </w:r>
      <w:proofErr w:type="spellStart"/>
      <w:r>
        <w:rPr>
          <w:rFonts w:eastAsia="Calibri" w:cs="Times New Roman"/>
          <w:i/>
          <w:iCs/>
        </w:rPr>
        <w:t>Francion</w:t>
      </w:r>
      <w:proofErr w:type="spellEnd"/>
      <w:r>
        <w:rPr>
          <w:rFonts w:eastAsia="Calibri" w:cs="Times New Roman"/>
        </w:rPr>
        <w:t xml:space="preserve"> (1623), </w:t>
      </w:r>
      <w:r w:rsidR="00DE71C0">
        <w:rPr>
          <w:rFonts w:eastAsia="Calibri" w:cs="Times New Roman"/>
        </w:rPr>
        <w:t xml:space="preserve">identified the danger </w:t>
      </w:r>
      <w:r>
        <w:rPr>
          <w:rFonts w:eastAsia="Calibri" w:cs="Times New Roman"/>
        </w:rPr>
        <w:t xml:space="preserve">in </w:t>
      </w:r>
      <w:r w:rsidR="00DE71C0">
        <w:rPr>
          <w:rFonts w:eastAsia="Calibri" w:cs="Times New Roman"/>
        </w:rPr>
        <w:t xml:space="preserve">his </w:t>
      </w:r>
      <w:r>
        <w:rPr>
          <w:rFonts w:eastAsia="Calibri" w:cs="Times New Roman"/>
        </w:rPr>
        <w:t xml:space="preserve">ambitious </w:t>
      </w:r>
      <w:r w:rsidR="00DE71C0">
        <w:rPr>
          <w:rFonts w:eastAsia="Calibri" w:cs="Times New Roman"/>
        </w:rPr>
        <w:t xml:space="preserve">multivolume </w:t>
      </w:r>
      <w:r>
        <w:rPr>
          <w:rFonts w:eastAsia="Calibri" w:cs="Times New Roman"/>
          <w:i/>
          <w:iCs/>
        </w:rPr>
        <w:t xml:space="preserve">La Science </w:t>
      </w:r>
      <w:proofErr w:type="spellStart"/>
      <w:r>
        <w:rPr>
          <w:rFonts w:eastAsia="Calibri" w:cs="Times New Roman"/>
          <w:i/>
          <w:iCs/>
        </w:rPr>
        <w:t>Universelle</w:t>
      </w:r>
      <w:proofErr w:type="spellEnd"/>
      <w:r w:rsidR="00355604">
        <w:rPr>
          <w:rFonts w:eastAsia="Calibri" w:cs="Times New Roman"/>
          <w:i/>
          <w:iCs/>
        </w:rPr>
        <w:t xml:space="preserve"> </w:t>
      </w:r>
      <w:r w:rsidR="00355604">
        <w:rPr>
          <w:rFonts w:eastAsia="Calibri" w:cs="Times New Roman"/>
        </w:rPr>
        <w:t>(</w:t>
      </w:r>
      <w:r w:rsidR="001C5296">
        <w:rPr>
          <w:rFonts w:eastAsia="Calibri" w:cs="Times New Roman"/>
        </w:rPr>
        <w:t>1</w:t>
      </w:r>
      <w:r w:rsidR="003E199B">
        <w:rPr>
          <w:rFonts w:eastAsia="Calibri" w:cs="Times New Roman"/>
        </w:rPr>
        <w:t>6</w:t>
      </w:r>
      <w:r w:rsidR="001C5296">
        <w:rPr>
          <w:rFonts w:eastAsia="Calibri" w:cs="Times New Roman"/>
        </w:rPr>
        <w:t>37</w:t>
      </w:r>
      <w:r w:rsidR="00355604">
        <w:rPr>
          <w:rFonts w:eastAsia="Calibri" w:cs="Times New Roman"/>
        </w:rPr>
        <w:t>)</w:t>
      </w:r>
      <w:r w:rsidR="00DE71C0">
        <w:rPr>
          <w:rFonts w:eastAsia="Calibri" w:cs="Times New Roman"/>
        </w:rPr>
        <w:t>.</w:t>
      </w:r>
      <w:r w:rsidR="0030750F">
        <w:rPr>
          <w:rStyle w:val="FootnoteReference"/>
          <w:rFonts w:eastAsia="Calibri" w:cs="Times New Roman"/>
        </w:rPr>
        <w:footnoteReference w:id="4"/>
      </w:r>
      <w:r w:rsidR="00DE71C0">
        <w:rPr>
          <w:rFonts w:eastAsia="Calibri" w:cs="Times New Roman"/>
        </w:rPr>
        <w:t xml:space="preserve"> According to the skeptics, he writes, </w:t>
      </w:r>
      <w:r w:rsidR="00A436DC">
        <w:rPr>
          <w:rFonts w:eastAsia="Calibri" w:cs="Times New Roman"/>
        </w:rPr>
        <w:t>there can be no agreement with regard to sounds, flavors, sights, or any other qualities of physical objects. “W</w:t>
      </w:r>
      <w:r w:rsidR="00DE71C0">
        <w:rPr>
          <w:rFonts w:eastAsia="Calibri" w:cs="Times New Roman"/>
        </w:rPr>
        <w:t xml:space="preserve">hatever seems hard to some will seem soft to others, and what seems dry or heavy </w:t>
      </w:r>
      <w:r w:rsidR="003E199B">
        <w:rPr>
          <w:rFonts w:eastAsia="Calibri" w:cs="Times New Roman"/>
        </w:rPr>
        <w:t xml:space="preserve">or hot </w:t>
      </w:r>
      <w:r w:rsidR="00DE71C0">
        <w:rPr>
          <w:rFonts w:eastAsia="Calibri" w:cs="Times New Roman"/>
        </w:rPr>
        <w:t xml:space="preserve">to people </w:t>
      </w:r>
      <w:r w:rsidR="003E199B">
        <w:rPr>
          <w:rFonts w:eastAsia="Calibri" w:cs="Times New Roman"/>
        </w:rPr>
        <w:t xml:space="preserve">over here </w:t>
      </w:r>
      <w:r w:rsidR="00DE71C0">
        <w:rPr>
          <w:rFonts w:eastAsia="Calibri" w:cs="Times New Roman"/>
        </w:rPr>
        <w:t xml:space="preserve">will </w:t>
      </w:r>
      <w:r w:rsidR="003E199B">
        <w:rPr>
          <w:rFonts w:eastAsia="Calibri" w:cs="Times New Roman"/>
        </w:rPr>
        <w:t xml:space="preserve">be </w:t>
      </w:r>
      <w:r w:rsidR="00DE71C0">
        <w:rPr>
          <w:rFonts w:eastAsia="Calibri" w:cs="Times New Roman"/>
        </w:rPr>
        <w:t xml:space="preserve">humid, light, or cold to </w:t>
      </w:r>
      <w:r w:rsidR="003E199B">
        <w:rPr>
          <w:rFonts w:eastAsia="Calibri" w:cs="Times New Roman"/>
        </w:rPr>
        <w:t>people over there</w:t>
      </w:r>
      <w:r w:rsidR="00DE71C0">
        <w:rPr>
          <w:rFonts w:eastAsia="Calibri" w:cs="Times New Roman"/>
        </w:rPr>
        <w:t xml:space="preserve">; </w:t>
      </w:r>
      <w:r w:rsidR="001C5296">
        <w:rPr>
          <w:rFonts w:eastAsia="Calibri" w:cs="Times New Roman"/>
        </w:rPr>
        <w:t>and no one can be more assured of the truth than anybody else.”</w:t>
      </w:r>
      <w:r w:rsidR="001C5296">
        <w:rPr>
          <w:rStyle w:val="FootnoteReference"/>
          <w:rFonts w:eastAsia="Calibri" w:cs="Times New Roman"/>
        </w:rPr>
        <w:footnoteReference w:id="5"/>
      </w:r>
      <w:r w:rsidR="001C5296">
        <w:rPr>
          <w:rFonts w:eastAsia="Calibri" w:cs="Times New Roman"/>
        </w:rPr>
        <w:t xml:space="preserve"> </w:t>
      </w:r>
      <w:r w:rsidR="006D6410">
        <w:rPr>
          <w:rFonts w:eastAsia="Calibri" w:cs="Times New Roman"/>
        </w:rPr>
        <w:t xml:space="preserve">Whereas Defoe </w:t>
      </w:r>
      <w:r w:rsidR="003E199B">
        <w:rPr>
          <w:rFonts w:eastAsia="Calibri" w:cs="Times New Roman"/>
        </w:rPr>
        <w:t>engaged with</w:t>
      </w:r>
      <w:r w:rsidR="006D6410">
        <w:rPr>
          <w:rFonts w:eastAsia="Calibri" w:cs="Times New Roman"/>
        </w:rPr>
        <w:t xml:space="preserve"> the variety of customs, Sorel considered </w:t>
      </w:r>
      <w:r w:rsidR="003E199B">
        <w:rPr>
          <w:rFonts w:eastAsia="Calibri" w:cs="Times New Roman"/>
        </w:rPr>
        <w:t xml:space="preserve">instead </w:t>
      </w:r>
      <w:r w:rsidR="006D6410">
        <w:rPr>
          <w:rFonts w:eastAsia="Calibri" w:cs="Times New Roman"/>
        </w:rPr>
        <w:t>the vagaries of sense perception</w:t>
      </w:r>
      <w:r w:rsidR="00B56E51">
        <w:rPr>
          <w:rFonts w:eastAsia="Calibri" w:cs="Times New Roman"/>
        </w:rPr>
        <w:t>, not only between human individuals but between humans and animals</w:t>
      </w:r>
      <w:r w:rsidR="006D6410">
        <w:rPr>
          <w:rFonts w:eastAsia="Calibri" w:cs="Times New Roman"/>
        </w:rPr>
        <w:t xml:space="preserve">; </w:t>
      </w:r>
      <w:r w:rsidR="006B0067">
        <w:rPr>
          <w:rFonts w:eastAsia="Calibri" w:cs="Times New Roman"/>
        </w:rPr>
        <w:t xml:space="preserve">in different ways, they </w:t>
      </w:r>
      <w:r w:rsidR="003E199B">
        <w:rPr>
          <w:rFonts w:eastAsia="Calibri" w:cs="Times New Roman"/>
        </w:rPr>
        <w:t xml:space="preserve">were equally concerned with the </w:t>
      </w:r>
      <w:r w:rsidR="00E3707E">
        <w:rPr>
          <w:rFonts w:eastAsia="Calibri" w:cs="Times New Roman"/>
        </w:rPr>
        <w:t>im</w:t>
      </w:r>
      <w:r w:rsidR="003E199B">
        <w:rPr>
          <w:rFonts w:eastAsia="Calibri" w:cs="Times New Roman"/>
        </w:rPr>
        <w:t xml:space="preserve">possibility of </w:t>
      </w:r>
      <w:r w:rsidR="00A436DC">
        <w:rPr>
          <w:rFonts w:eastAsia="Calibri" w:cs="Times New Roman"/>
        </w:rPr>
        <w:t xml:space="preserve">solving </w:t>
      </w:r>
      <w:r w:rsidR="003E199B">
        <w:rPr>
          <w:rFonts w:eastAsia="Calibri" w:cs="Times New Roman"/>
        </w:rPr>
        <w:t xml:space="preserve">disagreement </w:t>
      </w:r>
      <w:r w:rsidR="00A436DC">
        <w:rPr>
          <w:rFonts w:eastAsia="Calibri" w:cs="Times New Roman"/>
        </w:rPr>
        <w:t>regarding</w:t>
      </w:r>
      <w:r w:rsidR="00E3707E">
        <w:rPr>
          <w:rFonts w:eastAsia="Calibri" w:cs="Times New Roman"/>
        </w:rPr>
        <w:t xml:space="preserve"> </w:t>
      </w:r>
      <w:r w:rsidR="003E199B">
        <w:rPr>
          <w:rFonts w:eastAsia="Calibri" w:cs="Times New Roman"/>
        </w:rPr>
        <w:t xml:space="preserve">the </w:t>
      </w:r>
      <w:r w:rsidR="00A436DC">
        <w:rPr>
          <w:rFonts w:eastAsia="Calibri" w:cs="Times New Roman"/>
        </w:rPr>
        <w:t xml:space="preserve">qualitative aspects of actions </w:t>
      </w:r>
      <w:r w:rsidR="006B0067">
        <w:rPr>
          <w:rFonts w:eastAsia="Calibri" w:cs="Times New Roman"/>
        </w:rPr>
        <w:t>and</w:t>
      </w:r>
      <w:r w:rsidR="00A436DC">
        <w:rPr>
          <w:rFonts w:eastAsia="Calibri" w:cs="Times New Roman"/>
        </w:rPr>
        <w:t xml:space="preserve"> things</w:t>
      </w:r>
      <w:r w:rsidR="003E199B">
        <w:rPr>
          <w:rFonts w:eastAsia="Calibri" w:cs="Times New Roman"/>
        </w:rPr>
        <w:t xml:space="preserve">. </w:t>
      </w:r>
      <w:r w:rsidR="006D6410">
        <w:rPr>
          <w:rFonts w:eastAsia="Calibri" w:cs="Times New Roman"/>
        </w:rPr>
        <w:t xml:space="preserve">Sorel’s </w:t>
      </w:r>
      <w:r w:rsidR="006B0067">
        <w:rPr>
          <w:rFonts w:eastAsia="Calibri" w:cs="Times New Roman"/>
        </w:rPr>
        <w:t xml:space="preserve">purpose </w:t>
      </w:r>
      <w:r w:rsidR="006D6410">
        <w:rPr>
          <w:rFonts w:eastAsia="Calibri" w:cs="Times New Roman"/>
        </w:rPr>
        <w:t xml:space="preserve">is to </w:t>
      </w:r>
      <w:r w:rsidR="006B0067">
        <w:rPr>
          <w:rFonts w:eastAsia="Calibri" w:cs="Times New Roman"/>
        </w:rPr>
        <w:t xml:space="preserve">confound </w:t>
      </w:r>
      <w:r w:rsidR="00E3707E">
        <w:rPr>
          <w:rFonts w:eastAsia="Calibri" w:cs="Times New Roman"/>
        </w:rPr>
        <w:t xml:space="preserve">the </w:t>
      </w:r>
      <w:r w:rsidR="006D6410">
        <w:rPr>
          <w:rFonts w:eastAsia="Calibri" w:cs="Times New Roman"/>
        </w:rPr>
        <w:t xml:space="preserve">skeptics, </w:t>
      </w:r>
      <w:r w:rsidR="00E3707E">
        <w:rPr>
          <w:rFonts w:eastAsia="Calibri" w:cs="Times New Roman"/>
        </w:rPr>
        <w:t xml:space="preserve">but his </w:t>
      </w:r>
      <w:r w:rsidR="00723328">
        <w:rPr>
          <w:rFonts w:eastAsia="Calibri" w:cs="Times New Roman"/>
        </w:rPr>
        <w:t>account</w:t>
      </w:r>
      <w:r w:rsidR="00A436DC">
        <w:rPr>
          <w:rFonts w:eastAsia="Calibri" w:cs="Times New Roman"/>
        </w:rPr>
        <w:t xml:space="preserve"> of their position </w:t>
      </w:r>
      <w:r w:rsidR="006D6410">
        <w:rPr>
          <w:rFonts w:eastAsia="Calibri" w:cs="Times New Roman"/>
        </w:rPr>
        <w:t>concisely spell</w:t>
      </w:r>
      <w:r w:rsidR="00723328">
        <w:rPr>
          <w:rFonts w:eastAsia="Calibri" w:cs="Times New Roman"/>
        </w:rPr>
        <w:t>s</w:t>
      </w:r>
      <w:r w:rsidR="006D6410">
        <w:rPr>
          <w:rFonts w:eastAsia="Calibri" w:cs="Times New Roman"/>
        </w:rPr>
        <w:t xml:space="preserve"> out the </w:t>
      </w:r>
      <w:r w:rsidR="00E3707E">
        <w:rPr>
          <w:rFonts w:eastAsia="Calibri" w:cs="Times New Roman"/>
        </w:rPr>
        <w:t>conceptual content</w:t>
      </w:r>
      <w:r w:rsidR="00B85F31">
        <w:rPr>
          <w:rFonts w:eastAsia="Calibri" w:cs="Times New Roman"/>
        </w:rPr>
        <w:t>s</w:t>
      </w:r>
      <w:r w:rsidR="00E3707E">
        <w:rPr>
          <w:rFonts w:eastAsia="Calibri" w:cs="Times New Roman"/>
        </w:rPr>
        <w:t xml:space="preserve"> </w:t>
      </w:r>
      <w:r w:rsidR="006D6410">
        <w:rPr>
          <w:rFonts w:eastAsia="Calibri" w:cs="Times New Roman"/>
        </w:rPr>
        <w:t xml:space="preserve">of relativism: value judgments </w:t>
      </w:r>
      <w:proofErr w:type="gramStart"/>
      <w:r w:rsidR="006D6410">
        <w:rPr>
          <w:rFonts w:eastAsia="Calibri" w:cs="Times New Roman"/>
        </w:rPr>
        <w:t>vary</w:t>
      </w:r>
      <w:proofErr w:type="gramEnd"/>
      <w:r w:rsidR="006D6410">
        <w:rPr>
          <w:rFonts w:eastAsia="Calibri" w:cs="Times New Roman"/>
        </w:rPr>
        <w:t xml:space="preserve"> and no one can tell which judgment is right. </w:t>
      </w:r>
      <w:r w:rsidR="00B20B7C">
        <w:rPr>
          <w:rFonts w:eastAsia="Calibri" w:cs="Times New Roman"/>
        </w:rPr>
        <w:t xml:space="preserve">This is not far from the way </w:t>
      </w:r>
      <w:r w:rsidR="006D6410">
        <w:rPr>
          <w:rFonts w:eastAsia="Calibri" w:cs="Times New Roman"/>
        </w:rPr>
        <w:t xml:space="preserve">modern philosophers </w:t>
      </w:r>
      <w:r w:rsidR="00B20B7C">
        <w:rPr>
          <w:rFonts w:eastAsia="Calibri" w:cs="Times New Roman"/>
        </w:rPr>
        <w:t xml:space="preserve">still </w:t>
      </w:r>
      <w:r w:rsidR="006D6410">
        <w:rPr>
          <w:rFonts w:eastAsia="Calibri" w:cs="Times New Roman"/>
        </w:rPr>
        <w:t xml:space="preserve">define </w:t>
      </w:r>
      <w:r w:rsidR="00B20B7C">
        <w:rPr>
          <w:rFonts w:eastAsia="Calibri" w:cs="Times New Roman"/>
        </w:rPr>
        <w:t>relativism</w:t>
      </w:r>
      <w:r w:rsidR="006D6410">
        <w:rPr>
          <w:rFonts w:eastAsia="Calibri" w:cs="Times New Roman"/>
        </w:rPr>
        <w:t>. According to Micha</w:t>
      </w:r>
      <w:r w:rsidR="00B85F31">
        <w:rPr>
          <w:rFonts w:eastAsia="Calibri" w:cs="Times New Roman"/>
        </w:rPr>
        <w:t>e</w:t>
      </w:r>
      <w:r w:rsidR="006D6410">
        <w:rPr>
          <w:rFonts w:eastAsia="Calibri" w:cs="Times New Roman"/>
        </w:rPr>
        <w:t xml:space="preserve">l Krausz, </w:t>
      </w:r>
      <w:r w:rsidR="00152777">
        <w:rPr>
          <w:rFonts w:eastAsia="Calibri" w:cs="Times New Roman"/>
        </w:rPr>
        <w:t xml:space="preserve">“relativism is characteristically defined as the dual thesis </w:t>
      </w:r>
      <w:r w:rsidR="006D6410">
        <w:rPr>
          <w:rFonts w:eastAsia="Calibri" w:cs="Times New Roman"/>
        </w:rPr>
        <w:t xml:space="preserve">that </w:t>
      </w:r>
      <w:r w:rsidR="00152777">
        <w:rPr>
          <w:rFonts w:eastAsia="Calibri" w:cs="Times New Roman"/>
        </w:rPr>
        <w:t xml:space="preserve">(1) </w:t>
      </w:r>
      <w:r w:rsidR="006D6410">
        <w:rPr>
          <w:rFonts w:eastAsia="Calibri" w:cs="Times New Roman"/>
        </w:rPr>
        <w:t>truth, goodness, or beauty</w:t>
      </w:r>
      <w:r w:rsidR="00152777">
        <w:rPr>
          <w:rFonts w:eastAsia="Calibri" w:cs="Times New Roman"/>
        </w:rPr>
        <w:t xml:space="preserve"> are …</w:t>
      </w:r>
      <w:r w:rsidR="006D6410">
        <w:rPr>
          <w:rFonts w:eastAsia="Calibri" w:cs="Times New Roman"/>
        </w:rPr>
        <w:t xml:space="preserve"> relative to </w:t>
      </w:r>
      <w:r w:rsidR="00152777">
        <w:rPr>
          <w:rFonts w:eastAsia="Calibri" w:cs="Times New Roman"/>
        </w:rPr>
        <w:t xml:space="preserve">some frame of </w:t>
      </w:r>
      <w:r w:rsidR="006D6410">
        <w:rPr>
          <w:rFonts w:eastAsia="Calibri" w:cs="Times New Roman"/>
        </w:rPr>
        <w:t xml:space="preserve">reference, and </w:t>
      </w:r>
      <w:r w:rsidR="00152777">
        <w:rPr>
          <w:rFonts w:eastAsia="Calibri" w:cs="Times New Roman"/>
        </w:rPr>
        <w:t xml:space="preserve">(2) </w:t>
      </w:r>
      <w:r w:rsidR="006D6410">
        <w:rPr>
          <w:rFonts w:eastAsia="Calibri" w:cs="Times New Roman"/>
        </w:rPr>
        <w:t xml:space="preserve">no </w:t>
      </w:r>
      <w:r w:rsidR="006D6410" w:rsidRPr="00152777">
        <w:rPr>
          <w:rFonts w:eastAsia="Calibri" w:cs="Times New Roman"/>
        </w:rPr>
        <w:t>absolute</w:t>
      </w:r>
      <w:r w:rsidR="006D6410">
        <w:rPr>
          <w:rFonts w:eastAsia="Calibri" w:cs="Times New Roman"/>
        </w:rPr>
        <w:t xml:space="preserve"> </w:t>
      </w:r>
      <w:r w:rsidR="006D6410">
        <w:rPr>
          <w:rFonts w:eastAsia="Calibri" w:cs="Times New Roman"/>
        </w:rPr>
        <w:lastRenderedPageBreak/>
        <w:t xml:space="preserve">standards to </w:t>
      </w:r>
      <w:r w:rsidR="006D6410" w:rsidRPr="00152777">
        <w:rPr>
          <w:rFonts w:eastAsia="Calibri" w:cs="Times New Roman"/>
        </w:rPr>
        <w:t>adjudicate</w:t>
      </w:r>
      <w:r w:rsidR="006D6410">
        <w:rPr>
          <w:rFonts w:eastAsia="Calibri" w:cs="Times New Roman"/>
        </w:rPr>
        <w:t xml:space="preserve"> between competing reference frames exist.”</w:t>
      </w:r>
      <w:r w:rsidR="006D6410">
        <w:rPr>
          <w:rStyle w:val="FootnoteReference"/>
          <w:rFonts w:eastAsia="Calibri" w:cs="Times New Roman"/>
        </w:rPr>
        <w:footnoteReference w:id="6"/>
      </w:r>
      <w:r w:rsidR="006D6410">
        <w:rPr>
          <w:rFonts w:eastAsia="Calibri" w:cs="Times New Roman"/>
        </w:rPr>
        <w:t xml:space="preserve"> </w:t>
      </w:r>
      <w:r w:rsidR="003E199B">
        <w:rPr>
          <w:rFonts w:eastAsia="Calibri" w:cs="Times New Roman"/>
        </w:rPr>
        <w:t>Krausz adds that not all forms of relativism need involve reference frames, but the definition is helpful in that it isolate</w:t>
      </w:r>
      <w:r w:rsidR="00B85F31">
        <w:rPr>
          <w:rFonts w:eastAsia="Calibri" w:cs="Times New Roman"/>
        </w:rPr>
        <w:t>s</w:t>
      </w:r>
      <w:r w:rsidR="003E199B">
        <w:rPr>
          <w:rFonts w:eastAsia="Calibri" w:cs="Times New Roman"/>
        </w:rPr>
        <w:t xml:space="preserve"> two </w:t>
      </w:r>
      <w:r w:rsidR="00521C87">
        <w:rPr>
          <w:rFonts w:eastAsia="Calibri" w:cs="Times New Roman"/>
        </w:rPr>
        <w:t>philosophical clauses</w:t>
      </w:r>
      <w:r w:rsidR="003E199B">
        <w:rPr>
          <w:rFonts w:eastAsia="Calibri" w:cs="Times New Roman"/>
        </w:rPr>
        <w:t xml:space="preserve"> that </w:t>
      </w:r>
      <w:r w:rsidR="006B0067">
        <w:rPr>
          <w:rFonts w:eastAsia="Calibri" w:cs="Times New Roman"/>
        </w:rPr>
        <w:t>can help us identify relativism in its past iterations</w:t>
      </w:r>
      <w:r w:rsidR="003E199B">
        <w:rPr>
          <w:rFonts w:eastAsia="Calibri" w:cs="Times New Roman"/>
        </w:rPr>
        <w:t xml:space="preserve">: the “diversity </w:t>
      </w:r>
      <w:r w:rsidR="00521C87">
        <w:rPr>
          <w:rFonts w:eastAsia="Calibri" w:cs="Times New Roman"/>
        </w:rPr>
        <w:t>clause</w:t>
      </w:r>
      <w:r w:rsidR="003E199B">
        <w:rPr>
          <w:rFonts w:eastAsia="Calibri" w:cs="Times New Roman"/>
        </w:rPr>
        <w:t xml:space="preserve">” (there are many different value judgments) and the “undecidability </w:t>
      </w:r>
      <w:r w:rsidR="00521C87">
        <w:rPr>
          <w:rFonts w:eastAsia="Calibri" w:cs="Times New Roman"/>
        </w:rPr>
        <w:t>clause</w:t>
      </w:r>
      <w:r w:rsidR="003E199B">
        <w:rPr>
          <w:rFonts w:eastAsia="Calibri" w:cs="Times New Roman"/>
        </w:rPr>
        <w:t>” (</w:t>
      </w:r>
      <w:r w:rsidR="00CB7331">
        <w:rPr>
          <w:rFonts w:eastAsia="Calibri" w:cs="Times New Roman"/>
        </w:rPr>
        <w:t xml:space="preserve">we </w:t>
      </w:r>
      <w:r w:rsidR="00190CCE">
        <w:rPr>
          <w:rFonts w:eastAsia="Calibri" w:cs="Times New Roman"/>
        </w:rPr>
        <w:t>have no criteria for</w:t>
      </w:r>
      <w:r w:rsidR="00CB7331">
        <w:rPr>
          <w:rFonts w:eastAsia="Calibri" w:cs="Times New Roman"/>
        </w:rPr>
        <w:t xml:space="preserve"> </w:t>
      </w:r>
      <w:r w:rsidR="003E199B">
        <w:rPr>
          <w:rFonts w:eastAsia="Calibri" w:cs="Times New Roman"/>
        </w:rPr>
        <w:t>determin</w:t>
      </w:r>
      <w:r w:rsidR="00190CCE">
        <w:rPr>
          <w:rFonts w:eastAsia="Calibri" w:cs="Times New Roman"/>
        </w:rPr>
        <w:t>ing</w:t>
      </w:r>
      <w:r w:rsidR="003E199B">
        <w:rPr>
          <w:rFonts w:eastAsia="Calibri" w:cs="Times New Roman"/>
        </w:rPr>
        <w:t xml:space="preserve"> which judgment is right).</w:t>
      </w:r>
    </w:p>
    <w:p w14:paraId="49743443" w14:textId="37927852" w:rsidR="000E003F" w:rsidRDefault="00A05B31" w:rsidP="006B0067">
      <w:pPr>
        <w:spacing w:after="0" w:line="480" w:lineRule="auto"/>
        <w:rPr>
          <w:rFonts w:eastAsia="Calibri" w:cs="Times New Roman"/>
        </w:rPr>
      </w:pPr>
      <w:r>
        <w:rPr>
          <w:rFonts w:eastAsia="Calibri" w:cs="Times New Roman"/>
        </w:rPr>
        <w:tab/>
      </w:r>
      <w:r w:rsidR="00AD4582">
        <w:rPr>
          <w:rFonts w:eastAsia="Calibri" w:cs="Times New Roman"/>
        </w:rPr>
        <w:t>Conceptually speaking, r</w:t>
      </w:r>
      <w:r>
        <w:rPr>
          <w:rFonts w:eastAsia="Calibri" w:cs="Times New Roman"/>
        </w:rPr>
        <w:t>elativism</w:t>
      </w:r>
      <w:r w:rsidR="00AD4582">
        <w:rPr>
          <w:rFonts w:eastAsia="Calibri" w:cs="Times New Roman"/>
        </w:rPr>
        <w:t xml:space="preserve"> is a combination between these two clauses, or theses. But it</w:t>
      </w:r>
      <w:r>
        <w:rPr>
          <w:rFonts w:eastAsia="Calibri" w:cs="Times New Roman"/>
        </w:rPr>
        <w:t xml:space="preserve"> is a combination of theses in a </w:t>
      </w:r>
      <w:r w:rsidR="00230DB7">
        <w:rPr>
          <w:rFonts w:eastAsia="Calibri" w:cs="Times New Roman"/>
        </w:rPr>
        <w:t xml:space="preserve">genealogical </w:t>
      </w:r>
      <w:r>
        <w:rPr>
          <w:rFonts w:eastAsia="Calibri" w:cs="Times New Roman"/>
        </w:rPr>
        <w:t>sense</w:t>
      </w:r>
      <w:r w:rsidR="00B92BD3">
        <w:rPr>
          <w:rFonts w:eastAsia="Calibri" w:cs="Times New Roman"/>
        </w:rPr>
        <w:t xml:space="preserve"> as well</w:t>
      </w:r>
      <w:r>
        <w:rPr>
          <w:rFonts w:eastAsia="Calibri" w:cs="Times New Roman"/>
        </w:rPr>
        <w:t xml:space="preserve">. It emerges </w:t>
      </w:r>
      <w:r w:rsidR="00B92BD3">
        <w:rPr>
          <w:rFonts w:eastAsia="Calibri" w:cs="Times New Roman"/>
        </w:rPr>
        <w:t xml:space="preserve">at the </w:t>
      </w:r>
      <w:r w:rsidR="006B0067">
        <w:rPr>
          <w:rFonts w:eastAsia="Calibri" w:cs="Times New Roman"/>
        </w:rPr>
        <w:t xml:space="preserve">confluence </w:t>
      </w:r>
      <w:r w:rsidR="00B92BD3">
        <w:rPr>
          <w:rFonts w:eastAsia="Calibri" w:cs="Times New Roman"/>
        </w:rPr>
        <w:t>of several developments in cultural and intellectual history</w:t>
      </w:r>
      <w:r w:rsidR="00AF4D57">
        <w:rPr>
          <w:rFonts w:eastAsia="Calibri" w:cs="Times New Roman"/>
        </w:rPr>
        <w:t xml:space="preserve">, which </w:t>
      </w:r>
      <w:r w:rsidR="005D16C2">
        <w:rPr>
          <w:rFonts w:eastAsia="Calibri" w:cs="Times New Roman"/>
        </w:rPr>
        <w:t xml:space="preserve">constituted </w:t>
      </w:r>
      <w:r w:rsidR="00AF4D57">
        <w:rPr>
          <w:rFonts w:eastAsia="Calibri" w:cs="Times New Roman"/>
        </w:rPr>
        <w:t xml:space="preserve">relativism’s </w:t>
      </w:r>
      <w:r w:rsidR="00FA14D0">
        <w:rPr>
          <w:rFonts w:eastAsia="Calibri" w:cs="Times New Roman"/>
        </w:rPr>
        <w:t>conceptual origins</w:t>
      </w:r>
      <w:r w:rsidR="00B92BD3">
        <w:rPr>
          <w:rFonts w:eastAsia="Calibri" w:cs="Times New Roman"/>
        </w:rPr>
        <w:t xml:space="preserve">. </w:t>
      </w:r>
      <w:r w:rsidR="00B82322">
        <w:rPr>
          <w:rFonts w:eastAsia="Calibri" w:cs="Times New Roman"/>
        </w:rPr>
        <w:t>The</w:t>
      </w:r>
      <w:r w:rsidR="00AF4D57">
        <w:rPr>
          <w:rFonts w:eastAsia="Calibri" w:cs="Times New Roman"/>
        </w:rPr>
        <w:t xml:space="preserve"> key factors </w:t>
      </w:r>
      <w:r w:rsidR="00B82322">
        <w:rPr>
          <w:rFonts w:eastAsia="Calibri" w:cs="Times New Roman"/>
        </w:rPr>
        <w:t xml:space="preserve">were diagnosed by a </w:t>
      </w:r>
      <w:r w:rsidR="005652FF">
        <w:rPr>
          <w:rFonts w:eastAsia="Calibri" w:cs="Times New Roman"/>
        </w:rPr>
        <w:t xml:space="preserve">perceptive observer of </w:t>
      </w:r>
      <w:r w:rsidR="00AF4D57">
        <w:rPr>
          <w:rFonts w:eastAsia="Calibri" w:cs="Times New Roman"/>
        </w:rPr>
        <w:t xml:space="preserve">his </w:t>
      </w:r>
      <w:r w:rsidR="005652FF">
        <w:rPr>
          <w:rFonts w:eastAsia="Calibri" w:cs="Times New Roman"/>
        </w:rPr>
        <w:t>times</w:t>
      </w:r>
      <w:r w:rsidR="00AF4D57">
        <w:rPr>
          <w:rFonts w:eastAsia="Calibri" w:cs="Times New Roman"/>
        </w:rPr>
        <w:t>,</w:t>
      </w:r>
      <w:r w:rsidR="005652FF">
        <w:rPr>
          <w:rFonts w:eastAsia="Calibri" w:cs="Times New Roman"/>
        </w:rPr>
        <w:t xml:space="preserve"> </w:t>
      </w:r>
      <w:r w:rsidR="005652FF" w:rsidRPr="005652FF">
        <w:rPr>
          <w:rFonts w:eastAsia="Calibri" w:cs="Times New Roman"/>
        </w:rPr>
        <w:t xml:space="preserve">the Scottish minister, sometime spy, and </w:t>
      </w:r>
      <w:r w:rsidR="005652FF">
        <w:rPr>
          <w:rFonts w:eastAsia="Calibri" w:cs="Times New Roman"/>
        </w:rPr>
        <w:t xml:space="preserve">eventual </w:t>
      </w:r>
      <w:r w:rsidR="005652FF" w:rsidRPr="005652FF">
        <w:rPr>
          <w:rFonts w:eastAsia="Calibri" w:cs="Times New Roman"/>
        </w:rPr>
        <w:t>conspirator Robert Ferguson</w:t>
      </w:r>
      <w:r w:rsidR="005652FF">
        <w:rPr>
          <w:rFonts w:eastAsia="Calibri" w:cs="Times New Roman"/>
        </w:rPr>
        <w:t xml:space="preserve"> (</w:t>
      </w:r>
      <w:r w:rsidR="005652FF" w:rsidRPr="005652FF">
        <w:rPr>
          <w:rFonts w:eastAsia="Calibri" w:cs="Times New Roman"/>
        </w:rPr>
        <w:t>c. 1637–1714</w:t>
      </w:r>
      <w:r w:rsidR="005652FF">
        <w:rPr>
          <w:rFonts w:eastAsia="Calibri" w:cs="Times New Roman"/>
        </w:rPr>
        <w:t>), known as “the Plotter” for his involvement in a series of both Whig and Jacobite plots.</w:t>
      </w:r>
      <w:r w:rsidR="005652FF">
        <w:rPr>
          <w:rStyle w:val="FootnoteReference"/>
          <w:rFonts w:eastAsia="Calibri" w:cs="Times New Roman"/>
        </w:rPr>
        <w:footnoteReference w:id="7"/>
      </w:r>
      <w:r w:rsidR="00F75158">
        <w:rPr>
          <w:rFonts w:eastAsia="Calibri" w:cs="Times New Roman"/>
        </w:rPr>
        <w:t xml:space="preserve"> In his early phase as a religious polemicist, Ferguson joined the chorus of voices </w:t>
      </w:r>
      <w:r w:rsidR="00C04806">
        <w:rPr>
          <w:rFonts w:eastAsia="Calibri" w:cs="Times New Roman"/>
        </w:rPr>
        <w:t>sounding the alarm against Hobbes</w:t>
      </w:r>
      <w:r w:rsidR="00F75158">
        <w:rPr>
          <w:rFonts w:eastAsia="Calibri" w:cs="Times New Roman"/>
        </w:rPr>
        <w:t>. He warned, in defense of rational dissent, that “</w:t>
      </w:r>
      <w:r w:rsidR="00F75158">
        <w:rPr>
          <w:rFonts w:eastAsia="Calibri" w:cs="Times New Roman"/>
          <w:i/>
          <w:iCs/>
        </w:rPr>
        <w:t>Hobbs</w:t>
      </w:r>
      <w:r w:rsidR="00F75158">
        <w:rPr>
          <w:rFonts w:eastAsia="Calibri" w:cs="Times New Roman"/>
        </w:rPr>
        <w:t xml:space="preserve"> and some other wild, Atheistically disposed persons of late, have managed an opposition to all natural Laws: contending that all things are in themselves indifferent</w:t>
      </w:r>
      <w:r w:rsidR="000E003F">
        <w:rPr>
          <w:rFonts w:eastAsia="Calibri" w:cs="Times New Roman"/>
        </w:rPr>
        <w:t xml:space="preserve"> … </w:t>
      </w:r>
      <w:r w:rsidR="00F75158">
        <w:rPr>
          <w:rFonts w:eastAsia="Calibri" w:cs="Times New Roman"/>
        </w:rPr>
        <w:t xml:space="preserve">and how that antecedently to the constitutions, appointments and </w:t>
      </w:r>
      <w:proofErr w:type="spellStart"/>
      <w:r w:rsidR="00F75158">
        <w:rPr>
          <w:rFonts w:eastAsia="Calibri" w:cs="Times New Roman"/>
        </w:rPr>
        <w:t>custom’s</w:t>
      </w:r>
      <w:proofErr w:type="spellEnd"/>
      <w:r w:rsidR="00F75158">
        <w:rPr>
          <w:rFonts w:eastAsia="Calibri" w:cs="Times New Roman"/>
        </w:rPr>
        <w:t xml:space="preserve"> of Societies, there is neither Vertue nor Vice, Turpitude nor Honesty, justice nor injustice.”</w:t>
      </w:r>
      <w:r w:rsidR="00F75158">
        <w:rPr>
          <w:rStyle w:val="FootnoteReference"/>
          <w:rFonts w:eastAsia="Calibri" w:cs="Times New Roman"/>
        </w:rPr>
        <w:footnoteReference w:id="8"/>
      </w:r>
      <w:r w:rsidR="003B3404">
        <w:rPr>
          <w:rFonts w:eastAsia="Calibri" w:cs="Times New Roman"/>
        </w:rPr>
        <w:t xml:space="preserve"> </w:t>
      </w:r>
      <w:r w:rsidR="009D79E0">
        <w:rPr>
          <w:rFonts w:eastAsia="Calibri" w:cs="Times New Roman"/>
        </w:rPr>
        <w:t xml:space="preserve">For </w:t>
      </w:r>
      <w:r w:rsidR="003B3404">
        <w:rPr>
          <w:rFonts w:eastAsia="Calibri" w:cs="Times New Roman"/>
        </w:rPr>
        <w:t>Ferguson</w:t>
      </w:r>
      <w:r w:rsidR="009D79E0">
        <w:rPr>
          <w:rFonts w:eastAsia="Calibri" w:cs="Times New Roman"/>
        </w:rPr>
        <w:t xml:space="preserve">, this is a scandalous revival of epicureanism, as it relies on </w:t>
      </w:r>
      <w:r w:rsidR="003B3404">
        <w:rPr>
          <w:rFonts w:eastAsia="Calibri" w:cs="Times New Roman"/>
        </w:rPr>
        <w:t xml:space="preserve">“discharging God from the Government of the World. For </w:t>
      </w:r>
      <w:r w:rsidR="003B3404" w:rsidRPr="003B3404">
        <w:rPr>
          <w:rFonts w:eastAsia="Calibri" w:cs="Times New Roman"/>
        </w:rPr>
        <w:t xml:space="preserve">if there be no Government, there is no law; and if no law there is neither moral Good nor Evil: As Good and Evil are relatives to law; so is law the relative of </w:t>
      </w:r>
      <w:r w:rsidR="003B3404" w:rsidRPr="003B3404">
        <w:rPr>
          <w:rFonts w:eastAsia="Calibri" w:cs="Times New Roman"/>
        </w:rPr>
        <w:lastRenderedPageBreak/>
        <w:t>Government; and all these stand and fall together</w:t>
      </w:r>
      <w:r w:rsidR="00B3377D">
        <w:rPr>
          <w:rFonts w:eastAsia="Calibri" w:cs="Times New Roman"/>
        </w:rPr>
        <w:t>.</w:t>
      </w:r>
      <w:r w:rsidR="003B3404" w:rsidRPr="003B3404">
        <w:rPr>
          <w:rFonts w:eastAsia="Calibri" w:cs="Times New Roman"/>
        </w:rPr>
        <w:t>”</w:t>
      </w:r>
      <w:r w:rsidR="00B3377D">
        <w:rPr>
          <w:rStyle w:val="FootnoteReference"/>
          <w:rFonts w:eastAsia="Calibri" w:cs="Times New Roman"/>
        </w:rPr>
        <w:footnoteReference w:id="9"/>
      </w:r>
      <w:r w:rsidR="003B3404">
        <w:rPr>
          <w:rFonts w:eastAsia="Calibri" w:cs="Times New Roman"/>
        </w:rPr>
        <w:t xml:space="preserve"> </w:t>
      </w:r>
      <w:r w:rsidR="00962303">
        <w:rPr>
          <w:rFonts w:eastAsia="Calibri" w:cs="Times New Roman"/>
        </w:rPr>
        <w:t xml:space="preserve">As examples, Ferguson offers a lengthy catalogue of aberrant practices legitimated by governments, such as theft in Sparta, prostitution among the Cyprians, and incest in Persia. </w:t>
      </w:r>
      <w:r w:rsidR="000E003F">
        <w:rPr>
          <w:rFonts w:eastAsia="Calibri" w:cs="Times New Roman"/>
        </w:rPr>
        <w:t xml:space="preserve">Nor does </w:t>
      </w:r>
      <w:r w:rsidR="00962303">
        <w:rPr>
          <w:rFonts w:eastAsia="Calibri" w:cs="Times New Roman"/>
        </w:rPr>
        <w:t>he</w:t>
      </w:r>
      <w:r w:rsidR="000E003F">
        <w:rPr>
          <w:rFonts w:eastAsia="Calibri" w:cs="Times New Roman"/>
        </w:rPr>
        <w:t xml:space="preserve"> believe that human</w:t>
      </w:r>
      <w:r w:rsidR="00962303">
        <w:rPr>
          <w:rFonts w:eastAsia="Calibri" w:cs="Times New Roman"/>
        </w:rPr>
        <w:t xml:space="preserve">s alone </w:t>
      </w:r>
      <w:r w:rsidR="000E003F">
        <w:rPr>
          <w:rFonts w:eastAsia="Calibri" w:cs="Times New Roman"/>
        </w:rPr>
        <w:t xml:space="preserve">can fill the gap left by God’s absence: the “great improvers of Reason” are never “at greater variance one with another, than about what is just and what is unjust. Each man determining as </w:t>
      </w:r>
      <w:proofErr w:type="spellStart"/>
      <w:r w:rsidR="000E003F">
        <w:rPr>
          <w:rFonts w:eastAsia="Calibri" w:cs="Times New Roman"/>
        </w:rPr>
        <w:t>humour</w:t>
      </w:r>
      <w:proofErr w:type="spellEnd"/>
      <w:r w:rsidR="000E003F">
        <w:rPr>
          <w:rFonts w:eastAsia="Calibri" w:cs="Times New Roman"/>
        </w:rPr>
        <w:t xml:space="preserve">, education, lust, or profit </w:t>
      </w:r>
      <w:proofErr w:type="spellStart"/>
      <w:r w:rsidR="000E003F">
        <w:rPr>
          <w:rFonts w:eastAsia="Calibri" w:cs="Times New Roman"/>
        </w:rPr>
        <w:t>swaye’s</w:t>
      </w:r>
      <w:proofErr w:type="spellEnd"/>
      <w:r w:rsidR="000E003F">
        <w:rPr>
          <w:rFonts w:eastAsia="Calibri" w:cs="Times New Roman"/>
        </w:rPr>
        <w:t xml:space="preserve"> him.”</w:t>
      </w:r>
      <w:r w:rsidR="000E003F">
        <w:rPr>
          <w:rStyle w:val="FootnoteReference"/>
          <w:rFonts w:eastAsia="Calibri" w:cs="Times New Roman"/>
        </w:rPr>
        <w:footnoteReference w:id="10"/>
      </w:r>
      <w:r w:rsidR="000E003F">
        <w:rPr>
          <w:rFonts w:eastAsia="Calibri" w:cs="Times New Roman"/>
        </w:rPr>
        <w:t xml:space="preserve"> </w:t>
      </w:r>
      <w:r w:rsidR="009D79E0">
        <w:rPr>
          <w:rFonts w:eastAsia="Calibri" w:cs="Times New Roman"/>
        </w:rPr>
        <w:t>Since reason is corrupted by sin, Ferguson concludes, we need Revelation</w:t>
      </w:r>
      <w:r w:rsidR="00962303">
        <w:rPr>
          <w:rFonts w:eastAsia="Calibri" w:cs="Times New Roman"/>
        </w:rPr>
        <w:t>:</w:t>
      </w:r>
      <w:r w:rsidR="009D79E0">
        <w:rPr>
          <w:rFonts w:eastAsia="Calibri" w:cs="Times New Roman"/>
        </w:rPr>
        <w:t xml:space="preserve"> “</w:t>
      </w:r>
      <w:r w:rsidR="00962303">
        <w:rPr>
          <w:rFonts w:eastAsia="Calibri" w:cs="Times New Roman"/>
        </w:rPr>
        <w:t>T</w:t>
      </w:r>
      <w:r w:rsidR="009D79E0">
        <w:rPr>
          <w:rFonts w:eastAsia="Calibri" w:cs="Times New Roman"/>
        </w:rPr>
        <w:t xml:space="preserve">he only sure, universal, perfect </w:t>
      </w:r>
      <w:r w:rsidR="009D79E0">
        <w:rPr>
          <w:rFonts w:eastAsia="Calibri" w:cs="Times New Roman"/>
          <w:i/>
          <w:iCs/>
        </w:rPr>
        <w:t>System</w:t>
      </w:r>
      <w:r w:rsidR="009D79E0">
        <w:rPr>
          <w:rFonts w:eastAsia="Calibri" w:cs="Times New Roman"/>
        </w:rPr>
        <w:t xml:space="preserve"> of natural Law, is the Decalogue of </w:t>
      </w:r>
      <w:r w:rsidR="009D79E0">
        <w:rPr>
          <w:rFonts w:eastAsia="Calibri" w:cs="Times New Roman"/>
          <w:i/>
          <w:iCs/>
        </w:rPr>
        <w:t>Moses.</w:t>
      </w:r>
      <w:r w:rsidR="009D79E0">
        <w:rPr>
          <w:rFonts w:eastAsia="Calibri" w:cs="Times New Roman"/>
        </w:rPr>
        <w:t>”</w:t>
      </w:r>
      <w:r w:rsidR="009D79E0">
        <w:rPr>
          <w:rStyle w:val="FootnoteReference"/>
          <w:rFonts w:eastAsia="Calibri" w:cs="Times New Roman"/>
        </w:rPr>
        <w:footnoteReference w:id="11"/>
      </w:r>
      <w:r w:rsidR="00200298">
        <w:rPr>
          <w:rFonts w:eastAsia="Calibri" w:cs="Times New Roman"/>
        </w:rPr>
        <w:t xml:space="preserve"> While good and evil “are relatives to law,” they remain objective as long as the law is God-given</w:t>
      </w:r>
      <w:r w:rsidR="00076A8F">
        <w:rPr>
          <w:rFonts w:eastAsia="Calibri" w:cs="Times New Roman"/>
        </w:rPr>
        <w:t xml:space="preserve"> and </w:t>
      </w:r>
      <w:r w:rsidR="00200298">
        <w:rPr>
          <w:rFonts w:eastAsia="Calibri" w:cs="Times New Roman"/>
        </w:rPr>
        <w:t>unambiguous</w:t>
      </w:r>
      <w:r w:rsidR="00962303">
        <w:rPr>
          <w:rFonts w:eastAsia="Calibri" w:cs="Times New Roman"/>
        </w:rPr>
        <w:t xml:space="preserve">. Once </w:t>
      </w:r>
      <w:r w:rsidR="00200298">
        <w:rPr>
          <w:rFonts w:eastAsia="Calibri" w:cs="Times New Roman"/>
        </w:rPr>
        <w:t xml:space="preserve">God </w:t>
      </w:r>
      <w:r w:rsidR="00962303">
        <w:rPr>
          <w:rFonts w:eastAsia="Calibri" w:cs="Times New Roman"/>
        </w:rPr>
        <w:t xml:space="preserve">is </w:t>
      </w:r>
      <w:r w:rsidR="00076A8F">
        <w:rPr>
          <w:rFonts w:eastAsia="Calibri" w:cs="Times New Roman"/>
        </w:rPr>
        <w:t>out of the picture</w:t>
      </w:r>
      <w:r w:rsidR="00200298">
        <w:rPr>
          <w:rFonts w:eastAsia="Calibri" w:cs="Times New Roman"/>
        </w:rPr>
        <w:t xml:space="preserve">, we are left with the customs and constitutions of different societies, </w:t>
      </w:r>
      <w:r w:rsidR="00076A8F">
        <w:rPr>
          <w:rFonts w:eastAsia="Calibri" w:cs="Times New Roman"/>
        </w:rPr>
        <w:t xml:space="preserve">which </w:t>
      </w:r>
      <w:r w:rsidR="00962303">
        <w:rPr>
          <w:rFonts w:eastAsia="Calibri" w:cs="Times New Roman"/>
        </w:rPr>
        <w:t xml:space="preserve">sanction </w:t>
      </w:r>
      <w:r w:rsidR="00E7050A">
        <w:rPr>
          <w:rFonts w:eastAsia="Calibri" w:cs="Times New Roman"/>
        </w:rPr>
        <w:t xml:space="preserve">all sorts of </w:t>
      </w:r>
      <w:r w:rsidR="00962303">
        <w:rPr>
          <w:rFonts w:eastAsia="Calibri" w:cs="Times New Roman"/>
        </w:rPr>
        <w:t>moral crimes</w:t>
      </w:r>
      <w:r w:rsidR="00076A8F">
        <w:rPr>
          <w:rFonts w:eastAsia="Calibri" w:cs="Times New Roman"/>
        </w:rPr>
        <w:t xml:space="preserve">, </w:t>
      </w:r>
      <w:r w:rsidR="00200298">
        <w:rPr>
          <w:rFonts w:eastAsia="Calibri" w:cs="Times New Roman"/>
        </w:rPr>
        <w:t xml:space="preserve">or with the judgment of </w:t>
      </w:r>
      <w:r w:rsidR="00076A8F">
        <w:rPr>
          <w:rFonts w:eastAsia="Calibri" w:cs="Times New Roman"/>
        </w:rPr>
        <w:t>individuals</w:t>
      </w:r>
      <w:r w:rsidR="00962303">
        <w:rPr>
          <w:rFonts w:eastAsia="Calibri" w:cs="Times New Roman"/>
        </w:rPr>
        <w:t>, which are corrupted by self-interest</w:t>
      </w:r>
      <w:r w:rsidR="00200298">
        <w:rPr>
          <w:rFonts w:eastAsia="Calibri" w:cs="Times New Roman"/>
        </w:rPr>
        <w:t xml:space="preserve">, lust, or education.  </w:t>
      </w:r>
    </w:p>
    <w:p w14:paraId="5B9127DF" w14:textId="77777777" w:rsidR="005B0989" w:rsidRDefault="00200298" w:rsidP="00F625ED">
      <w:pPr>
        <w:spacing w:after="0" w:line="480" w:lineRule="auto"/>
        <w:rPr>
          <w:rFonts w:eastAsia="Calibri" w:cs="Times New Roman"/>
        </w:rPr>
      </w:pPr>
      <w:r>
        <w:rPr>
          <w:rFonts w:eastAsia="Calibri" w:cs="Times New Roman"/>
        </w:rPr>
        <w:tab/>
      </w:r>
      <w:r w:rsidR="00E43F00">
        <w:rPr>
          <w:rFonts w:eastAsia="Calibri" w:cs="Times New Roman"/>
        </w:rPr>
        <w:t xml:space="preserve">Each of these contentions—about God, about customs, and about minds—would find increasingly vocal supporters between the sixteenth and eighteenth centuries. Taken together (and Ferguson is making precisely this point), they would </w:t>
      </w:r>
      <w:r w:rsidR="00784FA9">
        <w:rPr>
          <w:rFonts w:eastAsia="Calibri" w:cs="Times New Roman"/>
        </w:rPr>
        <w:t>imply</w:t>
      </w:r>
      <w:r w:rsidR="00E43F00">
        <w:rPr>
          <w:rFonts w:eastAsia="Calibri" w:cs="Times New Roman"/>
        </w:rPr>
        <w:t xml:space="preserve"> that the laws governing human societies are not divine but historical; that because history varies by time and place, the value systems emerging in different cultures would also differ between themselves; and </w:t>
      </w:r>
      <w:r w:rsidR="001E7AC5">
        <w:rPr>
          <w:rFonts w:eastAsia="Calibri" w:cs="Times New Roman"/>
        </w:rPr>
        <w:t xml:space="preserve">the resulting variation in notions of good and evil, right and wrong, or just and unjust would only be aggravated by the flightiness of human subjectivity. </w:t>
      </w:r>
      <w:r w:rsidR="00784FA9">
        <w:rPr>
          <w:rFonts w:eastAsia="Calibri" w:cs="Times New Roman"/>
        </w:rPr>
        <w:t xml:space="preserve">All that is left are artificial value systems relative to historical contingencies and individual idiosyncrasies, with no supervening standard to adjudicate between them. </w:t>
      </w:r>
    </w:p>
    <w:p w14:paraId="43417F94" w14:textId="16B7F509" w:rsidR="00F625ED" w:rsidRPr="00AE1762" w:rsidRDefault="00692940" w:rsidP="005B0989">
      <w:pPr>
        <w:spacing w:after="0" w:line="480" w:lineRule="auto"/>
        <w:ind w:firstLine="720"/>
        <w:rPr>
          <w:rFonts w:eastAsia="Yu Mincho" w:cs="Times New Roman"/>
        </w:rPr>
      </w:pPr>
      <w:r>
        <w:rPr>
          <w:rFonts w:eastAsia="Calibri" w:cs="Times New Roman"/>
        </w:rPr>
        <w:lastRenderedPageBreak/>
        <w:t xml:space="preserve">These then are the three theses enabling the emergence of relativism in early modernity: the historicity, the diversity, and the subjectivity of values. </w:t>
      </w:r>
      <w:r w:rsidR="005B0989">
        <w:rPr>
          <w:rFonts w:eastAsia="Calibri" w:cs="Times New Roman"/>
        </w:rPr>
        <w:t xml:space="preserve">The sections that follow sketch out the rise of each of them as well as their connection with relativistic thinking. But relativism also evolved </w:t>
      </w:r>
      <w:r w:rsidR="00F625ED" w:rsidRPr="00F625ED">
        <w:rPr>
          <w:rFonts w:eastAsia="Yu Mincho" w:cs="Times New Roman"/>
        </w:rPr>
        <w:t xml:space="preserve">dialectically in response to a background of religious, institutional, legal, and social forces, all of which contributed to </w:t>
      </w:r>
      <w:r w:rsidR="005B0989">
        <w:rPr>
          <w:rFonts w:eastAsia="Yu Mincho" w:cs="Times New Roman"/>
        </w:rPr>
        <w:t>pressure it into shape</w:t>
      </w:r>
      <w:r w:rsidR="00F625ED" w:rsidRPr="00F625ED">
        <w:rPr>
          <w:rFonts w:eastAsia="Yu Mincho" w:cs="Times New Roman"/>
        </w:rPr>
        <w:t>.</w:t>
      </w:r>
      <w:r w:rsidR="005B0989">
        <w:rPr>
          <w:rFonts w:eastAsia="Yu Mincho" w:cs="Times New Roman"/>
        </w:rPr>
        <w:t xml:space="preserve"> This chapter’s final section, accordingly, turns to that broader background, which was characterized by widespread moral panic. </w:t>
      </w:r>
      <w:r w:rsidR="00F625ED" w:rsidRPr="00F625ED">
        <w:rPr>
          <w:rFonts w:eastAsia="Yu Mincho" w:cs="Times New Roman"/>
        </w:rPr>
        <w:t xml:space="preserve">   </w:t>
      </w:r>
    </w:p>
    <w:sectPr w:rsidR="00F625ED" w:rsidRPr="00AE17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7954" w14:textId="77777777" w:rsidR="00E3618B" w:rsidRDefault="00E3618B" w:rsidP="00AE1762">
      <w:pPr>
        <w:spacing w:after="0" w:line="240" w:lineRule="auto"/>
      </w:pPr>
      <w:r>
        <w:separator/>
      </w:r>
    </w:p>
  </w:endnote>
  <w:endnote w:type="continuationSeparator" w:id="0">
    <w:p w14:paraId="0289905B" w14:textId="77777777" w:rsidR="00E3618B" w:rsidRDefault="00E3618B" w:rsidP="00AE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58FA7" w14:textId="77777777" w:rsidR="00E3618B" w:rsidRDefault="00E3618B" w:rsidP="00AE1762">
      <w:pPr>
        <w:spacing w:after="0" w:line="240" w:lineRule="auto"/>
      </w:pPr>
      <w:r>
        <w:separator/>
      </w:r>
    </w:p>
  </w:footnote>
  <w:footnote w:type="continuationSeparator" w:id="0">
    <w:p w14:paraId="1F4281ED" w14:textId="77777777" w:rsidR="00E3618B" w:rsidRDefault="00E3618B" w:rsidP="00AE1762">
      <w:pPr>
        <w:spacing w:after="0" w:line="240" w:lineRule="auto"/>
      </w:pPr>
      <w:r>
        <w:continuationSeparator/>
      </w:r>
    </w:p>
  </w:footnote>
  <w:footnote w:id="1">
    <w:p w14:paraId="084FFB69" w14:textId="155B5AEA" w:rsidR="00DF6C0F" w:rsidRPr="00DF6C0F" w:rsidRDefault="00DF6C0F" w:rsidP="00544A39">
      <w:pPr>
        <w:pStyle w:val="FootnoteText"/>
        <w:spacing w:after="120"/>
      </w:pPr>
      <w:r>
        <w:rPr>
          <w:rStyle w:val="FootnoteReference"/>
        </w:rPr>
        <w:footnoteRef/>
      </w:r>
      <w:r w:rsidRPr="00DA6F56">
        <w:rPr>
          <w:lang w:val="it-IT"/>
        </w:rPr>
        <w:t xml:space="preserve"> Daniel Defoe, </w:t>
      </w:r>
      <w:r w:rsidRPr="00DA6F56">
        <w:rPr>
          <w:i/>
          <w:iCs/>
          <w:lang w:val="it-IT"/>
        </w:rPr>
        <w:t>Robinson Crusoe</w:t>
      </w:r>
      <w:r w:rsidRPr="00DA6F56">
        <w:rPr>
          <w:lang w:val="it-IT"/>
        </w:rPr>
        <w:t xml:space="preserve">, ed. </w:t>
      </w:r>
      <w:r w:rsidRPr="00DF6C0F">
        <w:t>Th</w:t>
      </w:r>
      <w:r>
        <w:t xml:space="preserve">omas Keymer (Oxford: OUP, 2009), 144. </w:t>
      </w:r>
    </w:p>
  </w:footnote>
  <w:footnote w:id="2">
    <w:p w14:paraId="53B4ACE5" w14:textId="7890F671" w:rsidR="00A23564" w:rsidRPr="00DF6C0F" w:rsidRDefault="00A23564" w:rsidP="00544A39">
      <w:pPr>
        <w:pStyle w:val="FootnoteText"/>
        <w:spacing w:after="120"/>
      </w:pPr>
      <w:r>
        <w:rPr>
          <w:rStyle w:val="FootnoteReference"/>
        </w:rPr>
        <w:footnoteRef/>
      </w:r>
      <w:r w:rsidRPr="00DF6C0F">
        <w:t xml:space="preserve"> </w:t>
      </w:r>
      <w:r w:rsidR="00DF6C0F">
        <w:t>Ibid., 145</w:t>
      </w:r>
      <w:r w:rsidRPr="00DF6C0F">
        <w:t xml:space="preserve">. </w:t>
      </w:r>
    </w:p>
  </w:footnote>
  <w:footnote w:id="3">
    <w:p w14:paraId="509F6A3D" w14:textId="0315415A" w:rsidR="00860BF3" w:rsidRDefault="00860BF3" w:rsidP="00544A39">
      <w:pPr>
        <w:pStyle w:val="FootnoteText"/>
        <w:spacing w:after="120"/>
      </w:pPr>
      <w:r>
        <w:rPr>
          <w:rStyle w:val="FootnoteReference"/>
        </w:rPr>
        <w:footnoteRef/>
      </w:r>
      <w:r>
        <w:t xml:space="preserve"> Markman Ellis, “Defoe and Colonialism,” in Nicholas Seager and J.A. Downie (eds.), </w:t>
      </w:r>
      <w:r>
        <w:rPr>
          <w:i/>
          <w:iCs/>
        </w:rPr>
        <w:t xml:space="preserve">The Oxford Handbook of Daniel Defoe </w:t>
      </w:r>
      <w:r>
        <w:t xml:space="preserve">(Oxford: OUP, 2023), 524. </w:t>
      </w:r>
    </w:p>
  </w:footnote>
  <w:footnote w:id="4">
    <w:p w14:paraId="78C6EC9C" w14:textId="656E0F02" w:rsidR="0030750F" w:rsidRPr="0030750F" w:rsidRDefault="0030750F" w:rsidP="00544A39">
      <w:pPr>
        <w:pStyle w:val="FootnoteText"/>
        <w:spacing w:after="120"/>
      </w:pPr>
      <w:r>
        <w:rPr>
          <w:rStyle w:val="FootnoteReference"/>
        </w:rPr>
        <w:footnoteRef/>
      </w:r>
      <w:r w:rsidRPr="0030750F">
        <w:t xml:space="preserve"> For survey</w:t>
      </w:r>
      <w:r w:rsidR="003C3296">
        <w:t>s</w:t>
      </w:r>
      <w:r w:rsidRPr="0030750F">
        <w:t xml:space="preserve"> of the purposes and structure of the </w:t>
      </w:r>
      <w:r w:rsidRPr="0030750F">
        <w:rPr>
          <w:i/>
          <w:iCs/>
        </w:rPr>
        <w:t xml:space="preserve">Science </w:t>
      </w:r>
      <w:proofErr w:type="spellStart"/>
      <w:r w:rsidRPr="0030750F">
        <w:rPr>
          <w:i/>
          <w:iCs/>
        </w:rPr>
        <w:t>Universelle</w:t>
      </w:r>
      <w:proofErr w:type="spellEnd"/>
      <w:r w:rsidRPr="0030750F">
        <w:t xml:space="preserve">, see the essays by Isabelle Moreau and Martine </w:t>
      </w:r>
      <w:proofErr w:type="spellStart"/>
      <w:r w:rsidRPr="0030750F">
        <w:t>Alet</w:t>
      </w:r>
      <w:proofErr w:type="spellEnd"/>
      <w:r w:rsidRPr="0030750F">
        <w:t xml:space="preserve"> </w:t>
      </w:r>
      <w:r w:rsidRPr="0030750F">
        <w:rPr>
          <w:rFonts w:eastAsia="Calibri" w:cs="Times New Roman"/>
        </w:rPr>
        <w:t xml:space="preserve">in Éric Van der Schueren (ed.), </w:t>
      </w:r>
      <w:r w:rsidRPr="0030750F">
        <w:rPr>
          <w:rFonts w:eastAsia="Calibri" w:cs="Times New Roman"/>
          <w:i/>
          <w:iCs/>
        </w:rPr>
        <w:t xml:space="preserve">Charles Sorel </w:t>
      </w:r>
      <w:proofErr w:type="spellStart"/>
      <w:r w:rsidRPr="0030750F">
        <w:rPr>
          <w:rFonts w:eastAsia="Calibri" w:cs="Times New Roman"/>
          <w:i/>
          <w:iCs/>
        </w:rPr>
        <w:t>Polygraphe</w:t>
      </w:r>
      <w:proofErr w:type="spellEnd"/>
      <w:r w:rsidRPr="0030750F">
        <w:rPr>
          <w:rFonts w:eastAsia="Calibri" w:cs="Times New Roman"/>
          <w:i/>
          <w:iCs/>
        </w:rPr>
        <w:t xml:space="preserve"> </w:t>
      </w:r>
      <w:r w:rsidRPr="0030750F">
        <w:rPr>
          <w:rFonts w:eastAsia="Calibri" w:cs="Times New Roman"/>
        </w:rPr>
        <w:t xml:space="preserve">(Lévis, Quebec: Les Presses de </w:t>
      </w:r>
      <w:proofErr w:type="spellStart"/>
      <w:r w:rsidRPr="0030750F">
        <w:rPr>
          <w:rFonts w:eastAsia="Calibri" w:cs="Times New Roman"/>
        </w:rPr>
        <w:t>l’Université</w:t>
      </w:r>
      <w:proofErr w:type="spellEnd"/>
      <w:r w:rsidRPr="0030750F">
        <w:rPr>
          <w:rFonts w:eastAsia="Calibri" w:cs="Times New Roman"/>
        </w:rPr>
        <w:t xml:space="preserve"> Laval, 2006), 77–92</w:t>
      </w:r>
      <w:r>
        <w:rPr>
          <w:rFonts w:eastAsia="Calibri" w:cs="Times New Roman"/>
        </w:rPr>
        <w:t>, 121–35</w:t>
      </w:r>
      <w:r w:rsidRPr="0030750F">
        <w:rPr>
          <w:rFonts w:eastAsia="Calibri" w:cs="Times New Roman"/>
        </w:rPr>
        <w:t xml:space="preserve">. </w:t>
      </w:r>
      <w:r w:rsidRPr="0030750F">
        <w:t xml:space="preserve">  </w:t>
      </w:r>
    </w:p>
  </w:footnote>
  <w:footnote w:id="5">
    <w:p w14:paraId="2DFABB04" w14:textId="7DC36501" w:rsidR="001C5296" w:rsidRPr="001C5296" w:rsidRDefault="001C5296" w:rsidP="00544A39">
      <w:pPr>
        <w:pStyle w:val="FootnoteText"/>
        <w:spacing w:after="120"/>
        <w:rPr>
          <w:lang w:val="fr-FR"/>
        </w:rPr>
      </w:pPr>
      <w:r>
        <w:rPr>
          <w:rStyle w:val="FootnoteReference"/>
        </w:rPr>
        <w:footnoteRef/>
      </w:r>
      <w:r w:rsidRPr="001C5296">
        <w:rPr>
          <w:lang w:val="fr-FR"/>
        </w:rPr>
        <w:t xml:space="preserve"> </w:t>
      </w:r>
      <w:r w:rsidR="003E199B" w:rsidRPr="003E199B">
        <w:rPr>
          <w:lang w:val="fr-FR"/>
        </w:rPr>
        <w:t>“</w:t>
      </w:r>
      <w:r w:rsidR="003E199B" w:rsidRPr="00355604">
        <w:rPr>
          <w:rFonts w:eastAsia="Calibri" w:cs="Times New Roman"/>
          <w:lang w:val="fr-FR"/>
        </w:rPr>
        <w:t>Ce qui semble dur aux uns, disent-ils, semble mol aux autres,</w:t>
      </w:r>
      <w:r w:rsidR="003E199B">
        <w:rPr>
          <w:rFonts w:eastAsia="Calibri" w:cs="Times New Roman"/>
          <w:lang w:val="fr-FR"/>
        </w:rPr>
        <w:t xml:space="preserve"> &amp; ce qui semble sec ou pesant ou chaud à </w:t>
      </w:r>
      <w:proofErr w:type="spellStart"/>
      <w:r w:rsidR="003E199B">
        <w:rPr>
          <w:rFonts w:eastAsia="Calibri" w:cs="Times New Roman"/>
          <w:lang w:val="fr-FR"/>
        </w:rPr>
        <w:t>ceux-cy</w:t>
      </w:r>
      <w:proofErr w:type="spellEnd"/>
      <w:r w:rsidR="003E199B">
        <w:rPr>
          <w:rFonts w:eastAsia="Calibri" w:cs="Times New Roman"/>
          <w:lang w:val="fr-FR"/>
        </w:rPr>
        <w:t xml:space="preserve">, est humide, </w:t>
      </w:r>
      <w:proofErr w:type="spellStart"/>
      <w:r w:rsidR="003E199B">
        <w:rPr>
          <w:rFonts w:eastAsia="Calibri" w:cs="Times New Roman"/>
          <w:lang w:val="fr-FR"/>
        </w:rPr>
        <w:t>leger</w:t>
      </w:r>
      <w:proofErr w:type="spellEnd"/>
      <w:r w:rsidR="003E199B">
        <w:rPr>
          <w:rFonts w:eastAsia="Calibri" w:cs="Times New Roman"/>
          <w:lang w:val="fr-FR"/>
        </w:rPr>
        <w:t xml:space="preserve"> ou froid pour ceux-là, &amp; il n’y en a aucun qui soit plus </w:t>
      </w:r>
      <w:proofErr w:type="spellStart"/>
      <w:r w:rsidR="003E199B">
        <w:rPr>
          <w:rFonts w:eastAsia="Calibri" w:cs="Times New Roman"/>
          <w:lang w:val="fr-FR"/>
        </w:rPr>
        <w:t>asseuré</w:t>
      </w:r>
      <w:proofErr w:type="spellEnd"/>
      <w:r w:rsidR="003E199B">
        <w:rPr>
          <w:rFonts w:eastAsia="Calibri" w:cs="Times New Roman"/>
          <w:lang w:val="fr-FR"/>
        </w:rPr>
        <w:t xml:space="preserve"> de la vérité que ses compagnons.</w:t>
      </w:r>
      <w:r w:rsidR="003E199B" w:rsidRPr="003E199B">
        <w:rPr>
          <w:lang w:val="fr-FR"/>
        </w:rPr>
        <w:t>”</w:t>
      </w:r>
      <w:r w:rsidR="003E199B">
        <w:rPr>
          <w:lang w:val="fr-FR"/>
        </w:rPr>
        <w:t xml:space="preserve"> </w:t>
      </w:r>
      <w:r w:rsidRPr="001C5296">
        <w:rPr>
          <w:lang w:val="fr-FR"/>
        </w:rPr>
        <w:t xml:space="preserve">Charles Sorel, </w:t>
      </w:r>
      <w:r w:rsidRPr="001C5296">
        <w:rPr>
          <w:i/>
          <w:iCs/>
          <w:lang w:val="fr-FR"/>
        </w:rPr>
        <w:t>Première Partie d</w:t>
      </w:r>
      <w:r>
        <w:rPr>
          <w:i/>
          <w:iCs/>
          <w:lang w:val="fr-FR"/>
        </w:rPr>
        <w:t>e la Science Universelle, contenant la science des choses corporelles … contre les erreurs de la Philosophie vulgaire</w:t>
      </w:r>
      <w:r>
        <w:rPr>
          <w:lang w:val="fr-FR"/>
        </w:rPr>
        <w:t xml:space="preserve"> (</w:t>
      </w:r>
      <w:proofErr w:type="gramStart"/>
      <w:r>
        <w:rPr>
          <w:lang w:val="fr-FR"/>
        </w:rPr>
        <w:t>Paris</w:t>
      </w:r>
      <w:r w:rsidRPr="001C5296">
        <w:rPr>
          <w:lang w:val="fr-FR"/>
        </w:rPr>
        <w:t>:</w:t>
      </w:r>
      <w:proofErr w:type="gramEnd"/>
      <w:r w:rsidRPr="001C5296">
        <w:rPr>
          <w:lang w:val="fr-FR"/>
        </w:rPr>
        <w:t xml:space="preserve"> </w:t>
      </w:r>
      <w:r>
        <w:rPr>
          <w:lang w:val="fr-FR"/>
        </w:rPr>
        <w:t xml:space="preserve">Pierre </w:t>
      </w:r>
      <w:proofErr w:type="spellStart"/>
      <w:r>
        <w:rPr>
          <w:lang w:val="fr-FR"/>
        </w:rPr>
        <w:t>Billaine</w:t>
      </w:r>
      <w:proofErr w:type="spellEnd"/>
      <w:r>
        <w:rPr>
          <w:lang w:val="fr-FR"/>
        </w:rPr>
        <w:t xml:space="preserve">, 1637), 313.   </w:t>
      </w:r>
    </w:p>
  </w:footnote>
  <w:footnote w:id="6">
    <w:p w14:paraId="40F6DB10" w14:textId="415DECB7" w:rsidR="006D6410" w:rsidRDefault="006D6410" w:rsidP="00544A39">
      <w:pPr>
        <w:pStyle w:val="FootnoteText"/>
        <w:spacing w:after="120"/>
      </w:pPr>
      <w:r>
        <w:rPr>
          <w:rStyle w:val="FootnoteReference"/>
        </w:rPr>
        <w:footnoteRef/>
      </w:r>
      <w:r>
        <w:t xml:space="preserve"> </w:t>
      </w:r>
      <w:r w:rsidRPr="006D6410">
        <w:t>Michael Krausz, “Mapping Relativisms,” in Krausz</w:t>
      </w:r>
      <w:r>
        <w:t xml:space="preserve"> (</w:t>
      </w:r>
      <w:r w:rsidRPr="006D6410">
        <w:t>ed.</w:t>
      </w:r>
      <w:r>
        <w:t>)</w:t>
      </w:r>
      <w:r w:rsidRPr="006D6410">
        <w:t xml:space="preserve">, </w:t>
      </w:r>
      <w:r w:rsidRPr="006D6410">
        <w:rPr>
          <w:i/>
          <w:iCs/>
        </w:rPr>
        <w:t>Relativism: A Contemporary Anthology</w:t>
      </w:r>
      <w:r w:rsidRPr="006D6410">
        <w:t xml:space="preserve"> (New York: Columbia Univ. Press, 2010), 1.</w:t>
      </w:r>
    </w:p>
  </w:footnote>
  <w:footnote w:id="7">
    <w:p w14:paraId="50A88314" w14:textId="1AE30AA3" w:rsidR="005652FF" w:rsidRPr="00D209F1" w:rsidRDefault="005652FF" w:rsidP="00544A39">
      <w:pPr>
        <w:pStyle w:val="FootnoteText"/>
        <w:spacing w:after="120"/>
      </w:pPr>
      <w:r>
        <w:rPr>
          <w:rStyle w:val="FootnoteReference"/>
        </w:rPr>
        <w:footnoteRef/>
      </w:r>
      <w:r>
        <w:t xml:space="preserve"> On Ferguson’s </w:t>
      </w:r>
      <w:r w:rsidR="00D209F1">
        <w:t xml:space="preserve">multifarious career and political vision, see </w:t>
      </w:r>
      <w:r>
        <w:t>Melinda S. Zook, “Turncoats and Double Agents</w:t>
      </w:r>
      <w:r w:rsidR="00D209F1">
        <w:t xml:space="preserve"> in Restoration and Revolutionary England: The Case of Robert Ferguson, the Plotter,” </w:t>
      </w:r>
      <w:r w:rsidR="00D209F1">
        <w:rPr>
          <w:i/>
          <w:iCs/>
        </w:rPr>
        <w:t xml:space="preserve">Eighteenth-Century Studies </w:t>
      </w:r>
      <w:r w:rsidR="00D209F1">
        <w:t>42/3 (2009), 363–78.</w:t>
      </w:r>
    </w:p>
  </w:footnote>
  <w:footnote w:id="8">
    <w:p w14:paraId="2C1D3A2D" w14:textId="4063516F" w:rsidR="00F75158" w:rsidRDefault="00F75158" w:rsidP="00544A39">
      <w:pPr>
        <w:pStyle w:val="FootnoteText"/>
        <w:spacing w:after="120"/>
      </w:pPr>
      <w:r>
        <w:rPr>
          <w:rStyle w:val="FootnoteReference"/>
        </w:rPr>
        <w:footnoteRef/>
      </w:r>
      <w:r>
        <w:t xml:space="preserve"> </w:t>
      </w:r>
      <w:bookmarkStart w:id="0" w:name="_Hlk178259335"/>
      <w:r w:rsidRPr="004623E5">
        <w:t xml:space="preserve">Robert Ferguson, </w:t>
      </w:r>
      <w:r w:rsidRPr="004623E5">
        <w:rPr>
          <w:i/>
          <w:iCs/>
        </w:rPr>
        <w:t>A Sober Enquiry into th</w:t>
      </w:r>
      <w:r>
        <w:rPr>
          <w:i/>
          <w:iCs/>
        </w:rPr>
        <w:t>e Nature, Measure, and Principle of Moral Virtue</w:t>
      </w:r>
      <w:r>
        <w:t xml:space="preserve">, </w:t>
      </w:r>
      <w:r>
        <w:rPr>
          <w:i/>
          <w:iCs/>
        </w:rPr>
        <w:t>its Distinction from Gospel-Holiness</w:t>
      </w:r>
      <w:r>
        <w:t xml:space="preserve"> (London: D. Newman, 1673)</w:t>
      </w:r>
      <w:bookmarkEnd w:id="0"/>
      <w:r>
        <w:t xml:space="preserve">, 51. </w:t>
      </w:r>
    </w:p>
  </w:footnote>
  <w:footnote w:id="9">
    <w:p w14:paraId="58C3A0D0" w14:textId="08CDE2DE" w:rsidR="00B3377D" w:rsidRDefault="00B3377D" w:rsidP="00544A39">
      <w:pPr>
        <w:pStyle w:val="FootnoteText"/>
        <w:spacing w:after="120"/>
      </w:pPr>
      <w:r>
        <w:rPr>
          <w:rStyle w:val="FootnoteReference"/>
        </w:rPr>
        <w:footnoteRef/>
      </w:r>
      <w:r>
        <w:t xml:space="preserve"> Ibid., 53.</w:t>
      </w:r>
    </w:p>
  </w:footnote>
  <w:footnote w:id="10">
    <w:p w14:paraId="43C1C9C9" w14:textId="3CEE3E05" w:rsidR="000E003F" w:rsidRDefault="000E003F" w:rsidP="00544A39">
      <w:pPr>
        <w:pStyle w:val="FootnoteText"/>
        <w:spacing w:after="120"/>
      </w:pPr>
      <w:r>
        <w:rPr>
          <w:rStyle w:val="FootnoteReference"/>
        </w:rPr>
        <w:footnoteRef/>
      </w:r>
      <w:r>
        <w:t xml:space="preserve"> Ibid., 81. </w:t>
      </w:r>
    </w:p>
  </w:footnote>
  <w:footnote w:id="11">
    <w:p w14:paraId="0A8FB05A" w14:textId="0EBD254B" w:rsidR="009D79E0" w:rsidRDefault="009D79E0" w:rsidP="00544A39">
      <w:pPr>
        <w:pStyle w:val="FootnoteText"/>
        <w:spacing w:after="120"/>
      </w:pPr>
      <w:r>
        <w:rPr>
          <w:rStyle w:val="FootnoteReference"/>
        </w:rPr>
        <w:footnoteRef/>
      </w:r>
      <w:r>
        <w:t xml:space="preserve"> Ibid., 82.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878681"/>
      <w:docPartObj>
        <w:docPartGallery w:val="Page Numbers (Top of Page)"/>
        <w:docPartUnique/>
      </w:docPartObj>
    </w:sdtPr>
    <w:sdtEndPr>
      <w:rPr>
        <w:noProof/>
      </w:rPr>
    </w:sdtEndPr>
    <w:sdtContent>
      <w:p w14:paraId="78F2E22B" w14:textId="3A7BA4CC" w:rsidR="00F96EA2" w:rsidRDefault="00F96EA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F3D2D0" w14:textId="77777777" w:rsidR="00F96EA2" w:rsidRDefault="00F96E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0C"/>
    <w:rsid w:val="000020F5"/>
    <w:rsid w:val="0000333F"/>
    <w:rsid w:val="00011267"/>
    <w:rsid w:val="00016957"/>
    <w:rsid w:val="00021EE2"/>
    <w:rsid w:val="00034A00"/>
    <w:rsid w:val="00035E49"/>
    <w:rsid w:val="0004384F"/>
    <w:rsid w:val="0004690C"/>
    <w:rsid w:val="00054317"/>
    <w:rsid w:val="00054617"/>
    <w:rsid w:val="00055B80"/>
    <w:rsid w:val="00057ED5"/>
    <w:rsid w:val="0007067E"/>
    <w:rsid w:val="00071DE9"/>
    <w:rsid w:val="000728F4"/>
    <w:rsid w:val="00074AA7"/>
    <w:rsid w:val="00076A8F"/>
    <w:rsid w:val="00081FFA"/>
    <w:rsid w:val="00083125"/>
    <w:rsid w:val="0008371C"/>
    <w:rsid w:val="000858CD"/>
    <w:rsid w:val="000A51B1"/>
    <w:rsid w:val="000A6A38"/>
    <w:rsid w:val="000B012F"/>
    <w:rsid w:val="000B237D"/>
    <w:rsid w:val="000B2D1B"/>
    <w:rsid w:val="000B54F4"/>
    <w:rsid w:val="000B67B7"/>
    <w:rsid w:val="000C53B7"/>
    <w:rsid w:val="000C57E8"/>
    <w:rsid w:val="000C6630"/>
    <w:rsid w:val="000D00D6"/>
    <w:rsid w:val="000D1780"/>
    <w:rsid w:val="000D58CF"/>
    <w:rsid w:val="000D67EA"/>
    <w:rsid w:val="000D7FD1"/>
    <w:rsid w:val="000E003F"/>
    <w:rsid w:val="000E3387"/>
    <w:rsid w:val="000E60C6"/>
    <w:rsid w:val="000E7DC1"/>
    <w:rsid w:val="000F12B5"/>
    <w:rsid w:val="000F1879"/>
    <w:rsid w:val="000F2F5F"/>
    <w:rsid w:val="000F45E8"/>
    <w:rsid w:val="000F5542"/>
    <w:rsid w:val="001067D1"/>
    <w:rsid w:val="00111829"/>
    <w:rsid w:val="001153BD"/>
    <w:rsid w:val="00116DC4"/>
    <w:rsid w:val="00127AEC"/>
    <w:rsid w:val="001319B5"/>
    <w:rsid w:val="001353A9"/>
    <w:rsid w:val="00141702"/>
    <w:rsid w:val="00141D52"/>
    <w:rsid w:val="00142A2F"/>
    <w:rsid w:val="001500C1"/>
    <w:rsid w:val="00152777"/>
    <w:rsid w:val="00155A90"/>
    <w:rsid w:val="00156E5B"/>
    <w:rsid w:val="00176328"/>
    <w:rsid w:val="00180827"/>
    <w:rsid w:val="00180D3D"/>
    <w:rsid w:val="001839BB"/>
    <w:rsid w:val="00184702"/>
    <w:rsid w:val="001900FC"/>
    <w:rsid w:val="001906BC"/>
    <w:rsid w:val="00190CCE"/>
    <w:rsid w:val="00193905"/>
    <w:rsid w:val="001964D1"/>
    <w:rsid w:val="001A43B4"/>
    <w:rsid w:val="001A588E"/>
    <w:rsid w:val="001B019C"/>
    <w:rsid w:val="001B2FB5"/>
    <w:rsid w:val="001B3475"/>
    <w:rsid w:val="001B40FD"/>
    <w:rsid w:val="001B719C"/>
    <w:rsid w:val="001C1E25"/>
    <w:rsid w:val="001C5296"/>
    <w:rsid w:val="001D1443"/>
    <w:rsid w:val="001D4522"/>
    <w:rsid w:val="001D48CD"/>
    <w:rsid w:val="001D49B1"/>
    <w:rsid w:val="001D766E"/>
    <w:rsid w:val="001E7AC5"/>
    <w:rsid w:val="001F01C2"/>
    <w:rsid w:val="00200298"/>
    <w:rsid w:val="0022311E"/>
    <w:rsid w:val="00224F05"/>
    <w:rsid w:val="00225113"/>
    <w:rsid w:val="00227766"/>
    <w:rsid w:val="00230DB7"/>
    <w:rsid w:val="0024250C"/>
    <w:rsid w:val="0025584C"/>
    <w:rsid w:val="00267E6D"/>
    <w:rsid w:val="00271DFD"/>
    <w:rsid w:val="002738FA"/>
    <w:rsid w:val="00276781"/>
    <w:rsid w:val="00277A59"/>
    <w:rsid w:val="002802C6"/>
    <w:rsid w:val="00281795"/>
    <w:rsid w:val="002858A7"/>
    <w:rsid w:val="00287938"/>
    <w:rsid w:val="00292058"/>
    <w:rsid w:val="00296258"/>
    <w:rsid w:val="002963AE"/>
    <w:rsid w:val="0029710A"/>
    <w:rsid w:val="002A54B1"/>
    <w:rsid w:val="002A63C3"/>
    <w:rsid w:val="002A6E7F"/>
    <w:rsid w:val="002B0B04"/>
    <w:rsid w:val="002B6E62"/>
    <w:rsid w:val="002B7F64"/>
    <w:rsid w:val="002C5E46"/>
    <w:rsid w:val="002C7205"/>
    <w:rsid w:val="002D4158"/>
    <w:rsid w:val="002D72DB"/>
    <w:rsid w:val="002E0F8C"/>
    <w:rsid w:val="002F55F9"/>
    <w:rsid w:val="00300C15"/>
    <w:rsid w:val="00301E33"/>
    <w:rsid w:val="00303B51"/>
    <w:rsid w:val="00304BF8"/>
    <w:rsid w:val="00305590"/>
    <w:rsid w:val="0030750F"/>
    <w:rsid w:val="00310DCC"/>
    <w:rsid w:val="003175BB"/>
    <w:rsid w:val="00322753"/>
    <w:rsid w:val="0032567B"/>
    <w:rsid w:val="00327CC4"/>
    <w:rsid w:val="00330C8F"/>
    <w:rsid w:val="00332052"/>
    <w:rsid w:val="0033567E"/>
    <w:rsid w:val="0033679E"/>
    <w:rsid w:val="00346C68"/>
    <w:rsid w:val="00353723"/>
    <w:rsid w:val="00355604"/>
    <w:rsid w:val="0035658E"/>
    <w:rsid w:val="003649BB"/>
    <w:rsid w:val="00365545"/>
    <w:rsid w:val="003661E8"/>
    <w:rsid w:val="003709E5"/>
    <w:rsid w:val="00371F6E"/>
    <w:rsid w:val="00380F72"/>
    <w:rsid w:val="003824CD"/>
    <w:rsid w:val="0038313F"/>
    <w:rsid w:val="00384FFB"/>
    <w:rsid w:val="0039390F"/>
    <w:rsid w:val="00393A62"/>
    <w:rsid w:val="00396C5D"/>
    <w:rsid w:val="003A045B"/>
    <w:rsid w:val="003A2188"/>
    <w:rsid w:val="003A783A"/>
    <w:rsid w:val="003B3404"/>
    <w:rsid w:val="003B5931"/>
    <w:rsid w:val="003B67DD"/>
    <w:rsid w:val="003C0F8B"/>
    <w:rsid w:val="003C3296"/>
    <w:rsid w:val="003D16FD"/>
    <w:rsid w:val="003D6291"/>
    <w:rsid w:val="003D7007"/>
    <w:rsid w:val="003D77B1"/>
    <w:rsid w:val="003D7EC5"/>
    <w:rsid w:val="003E199B"/>
    <w:rsid w:val="003E3963"/>
    <w:rsid w:val="003E3AB6"/>
    <w:rsid w:val="003E4BC8"/>
    <w:rsid w:val="003E7121"/>
    <w:rsid w:val="003F0CFB"/>
    <w:rsid w:val="003F1595"/>
    <w:rsid w:val="004014AF"/>
    <w:rsid w:val="00404114"/>
    <w:rsid w:val="004165CA"/>
    <w:rsid w:val="0042510C"/>
    <w:rsid w:val="00435140"/>
    <w:rsid w:val="00440C33"/>
    <w:rsid w:val="00443FF3"/>
    <w:rsid w:val="004456AD"/>
    <w:rsid w:val="00445BDD"/>
    <w:rsid w:val="00446EA5"/>
    <w:rsid w:val="0045677D"/>
    <w:rsid w:val="00463DF8"/>
    <w:rsid w:val="00470D23"/>
    <w:rsid w:val="004717A3"/>
    <w:rsid w:val="00472819"/>
    <w:rsid w:val="00472EFE"/>
    <w:rsid w:val="00473287"/>
    <w:rsid w:val="00482B63"/>
    <w:rsid w:val="0049150B"/>
    <w:rsid w:val="004927FB"/>
    <w:rsid w:val="00492D64"/>
    <w:rsid w:val="004970F4"/>
    <w:rsid w:val="004A07BE"/>
    <w:rsid w:val="004A4CB9"/>
    <w:rsid w:val="004B3B57"/>
    <w:rsid w:val="004D28FB"/>
    <w:rsid w:val="004D5C71"/>
    <w:rsid w:val="004E1008"/>
    <w:rsid w:val="004E1689"/>
    <w:rsid w:val="004E5931"/>
    <w:rsid w:val="00505046"/>
    <w:rsid w:val="00510D5E"/>
    <w:rsid w:val="005112A6"/>
    <w:rsid w:val="00511BC8"/>
    <w:rsid w:val="00516357"/>
    <w:rsid w:val="00521C87"/>
    <w:rsid w:val="00522F5B"/>
    <w:rsid w:val="00523F11"/>
    <w:rsid w:val="00530502"/>
    <w:rsid w:val="00530650"/>
    <w:rsid w:val="005317D7"/>
    <w:rsid w:val="005372E4"/>
    <w:rsid w:val="00540336"/>
    <w:rsid w:val="00540675"/>
    <w:rsid w:val="00542116"/>
    <w:rsid w:val="00544A39"/>
    <w:rsid w:val="00554C5B"/>
    <w:rsid w:val="005567A6"/>
    <w:rsid w:val="00556B85"/>
    <w:rsid w:val="0055716C"/>
    <w:rsid w:val="005579B9"/>
    <w:rsid w:val="005606C1"/>
    <w:rsid w:val="00564A6D"/>
    <w:rsid w:val="005652FF"/>
    <w:rsid w:val="00565767"/>
    <w:rsid w:val="00577060"/>
    <w:rsid w:val="00581B2E"/>
    <w:rsid w:val="0058700C"/>
    <w:rsid w:val="00587EDC"/>
    <w:rsid w:val="00591806"/>
    <w:rsid w:val="00594175"/>
    <w:rsid w:val="0059626C"/>
    <w:rsid w:val="005A1449"/>
    <w:rsid w:val="005A3FDE"/>
    <w:rsid w:val="005A6663"/>
    <w:rsid w:val="005B0989"/>
    <w:rsid w:val="005B1D35"/>
    <w:rsid w:val="005D16C2"/>
    <w:rsid w:val="005E07C3"/>
    <w:rsid w:val="005E46AF"/>
    <w:rsid w:val="005E6FB2"/>
    <w:rsid w:val="005F1208"/>
    <w:rsid w:val="005F7515"/>
    <w:rsid w:val="005F7BC5"/>
    <w:rsid w:val="00611990"/>
    <w:rsid w:val="00616071"/>
    <w:rsid w:val="00616E90"/>
    <w:rsid w:val="00621405"/>
    <w:rsid w:val="0062250E"/>
    <w:rsid w:val="00630831"/>
    <w:rsid w:val="00643132"/>
    <w:rsid w:val="006558BD"/>
    <w:rsid w:val="00661A35"/>
    <w:rsid w:val="00664211"/>
    <w:rsid w:val="006672F7"/>
    <w:rsid w:val="006679FB"/>
    <w:rsid w:val="0067038A"/>
    <w:rsid w:val="006736D8"/>
    <w:rsid w:val="006742E6"/>
    <w:rsid w:val="00681382"/>
    <w:rsid w:val="006836B7"/>
    <w:rsid w:val="00684F22"/>
    <w:rsid w:val="00685D83"/>
    <w:rsid w:val="00690707"/>
    <w:rsid w:val="00692940"/>
    <w:rsid w:val="00696074"/>
    <w:rsid w:val="006A2010"/>
    <w:rsid w:val="006B0067"/>
    <w:rsid w:val="006B17D5"/>
    <w:rsid w:val="006C2514"/>
    <w:rsid w:val="006C5CCD"/>
    <w:rsid w:val="006C7A97"/>
    <w:rsid w:val="006D2B0B"/>
    <w:rsid w:val="006D4424"/>
    <w:rsid w:val="006D6410"/>
    <w:rsid w:val="006E0248"/>
    <w:rsid w:val="006E35C8"/>
    <w:rsid w:val="006E462C"/>
    <w:rsid w:val="006E4884"/>
    <w:rsid w:val="006E7EE5"/>
    <w:rsid w:val="006F277A"/>
    <w:rsid w:val="006F4CFD"/>
    <w:rsid w:val="006F5CD7"/>
    <w:rsid w:val="006F7716"/>
    <w:rsid w:val="007006C0"/>
    <w:rsid w:val="007054FE"/>
    <w:rsid w:val="00707A80"/>
    <w:rsid w:val="007136EC"/>
    <w:rsid w:val="007164AF"/>
    <w:rsid w:val="0071717D"/>
    <w:rsid w:val="00723328"/>
    <w:rsid w:val="00726EBE"/>
    <w:rsid w:val="007320B9"/>
    <w:rsid w:val="007363E9"/>
    <w:rsid w:val="00741D19"/>
    <w:rsid w:val="007422FB"/>
    <w:rsid w:val="0074524C"/>
    <w:rsid w:val="00757B92"/>
    <w:rsid w:val="00763B18"/>
    <w:rsid w:val="00765CDF"/>
    <w:rsid w:val="00766511"/>
    <w:rsid w:val="00770FDE"/>
    <w:rsid w:val="00772E20"/>
    <w:rsid w:val="0077469A"/>
    <w:rsid w:val="007755E7"/>
    <w:rsid w:val="00775880"/>
    <w:rsid w:val="00780162"/>
    <w:rsid w:val="00784FA9"/>
    <w:rsid w:val="00786CBA"/>
    <w:rsid w:val="00791303"/>
    <w:rsid w:val="007935E7"/>
    <w:rsid w:val="00794F32"/>
    <w:rsid w:val="007A2A33"/>
    <w:rsid w:val="007B27C5"/>
    <w:rsid w:val="007B67F8"/>
    <w:rsid w:val="007B7331"/>
    <w:rsid w:val="007C10B6"/>
    <w:rsid w:val="007C163B"/>
    <w:rsid w:val="007C369A"/>
    <w:rsid w:val="007C4A78"/>
    <w:rsid w:val="007C522F"/>
    <w:rsid w:val="007C7F0A"/>
    <w:rsid w:val="007D71E1"/>
    <w:rsid w:val="007E097E"/>
    <w:rsid w:val="007E33BC"/>
    <w:rsid w:val="007E3A7E"/>
    <w:rsid w:val="007E54F8"/>
    <w:rsid w:val="008028C7"/>
    <w:rsid w:val="00802AE6"/>
    <w:rsid w:val="00807007"/>
    <w:rsid w:val="00811A77"/>
    <w:rsid w:val="008166BB"/>
    <w:rsid w:val="00816E5C"/>
    <w:rsid w:val="00824C03"/>
    <w:rsid w:val="0083060A"/>
    <w:rsid w:val="00841D15"/>
    <w:rsid w:val="008512F2"/>
    <w:rsid w:val="00860066"/>
    <w:rsid w:val="00860830"/>
    <w:rsid w:val="00860BF3"/>
    <w:rsid w:val="008614AE"/>
    <w:rsid w:val="008623CB"/>
    <w:rsid w:val="00877A72"/>
    <w:rsid w:val="00881383"/>
    <w:rsid w:val="008831DC"/>
    <w:rsid w:val="008A2C61"/>
    <w:rsid w:val="008B3EEE"/>
    <w:rsid w:val="008B55E2"/>
    <w:rsid w:val="008C4755"/>
    <w:rsid w:val="008C547C"/>
    <w:rsid w:val="008C6F8A"/>
    <w:rsid w:val="008E1B39"/>
    <w:rsid w:val="008E5669"/>
    <w:rsid w:val="008F2B65"/>
    <w:rsid w:val="008F4E43"/>
    <w:rsid w:val="00902DED"/>
    <w:rsid w:val="00905BA9"/>
    <w:rsid w:val="00905FBA"/>
    <w:rsid w:val="00907296"/>
    <w:rsid w:val="009073E2"/>
    <w:rsid w:val="009073F9"/>
    <w:rsid w:val="00916C46"/>
    <w:rsid w:val="00921C2A"/>
    <w:rsid w:val="0092466D"/>
    <w:rsid w:val="00924903"/>
    <w:rsid w:val="00925E15"/>
    <w:rsid w:val="009312E2"/>
    <w:rsid w:val="0093330C"/>
    <w:rsid w:val="00933AD4"/>
    <w:rsid w:val="0094754D"/>
    <w:rsid w:val="0094791F"/>
    <w:rsid w:val="00952D4A"/>
    <w:rsid w:val="00955140"/>
    <w:rsid w:val="00962303"/>
    <w:rsid w:val="00962547"/>
    <w:rsid w:val="009631B0"/>
    <w:rsid w:val="009641EA"/>
    <w:rsid w:val="00972438"/>
    <w:rsid w:val="009725D2"/>
    <w:rsid w:val="00974EB9"/>
    <w:rsid w:val="00983678"/>
    <w:rsid w:val="0098661B"/>
    <w:rsid w:val="00991838"/>
    <w:rsid w:val="00992C07"/>
    <w:rsid w:val="009A2343"/>
    <w:rsid w:val="009A405C"/>
    <w:rsid w:val="009B1B10"/>
    <w:rsid w:val="009B6A62"/>
    <w:rsid w:val="009C1347"/>
    <w:rsid w:val="009C3196"/>
    <w:rsid w:val="009C5CB0"/>
    <w:rsid w:val="009C79A0"/>
    <w:rsid w:val="009D6CDA"/>
    <w:rsid w:val="009D79E0"/>
    <w:rsid w:val="009E6713"/>
    <w:rsid w:val="009F1959"/>
    <w:rsid w:val="009F5D08"/>
    <w:rsid w:val="00A04994"/>
    <w:rsid w:val="00A05B31"/>
    <w:rsid w:val="00A134D6"/>
    <w:rsid w:val="00A151EC"/>
    <w:rsid w:val="00A159AB"/>
    <w:rsid w:val="00A228D8"/>
    <w:rsid w:val="00A23564"/>
    <w:rsid w:val="00A23725"/>
    <w:rsid w:val="00A24A4C"/>
    <w:rsid w:val="00A24F62"/>
    <w:rsid w:val="00A31950"/>
    <w:rsid w:val="00A35758"/>
    <w:rsid w:val="00A4220A"/>
    <w:rsid w:val="00A436DC"/>
    <w:rsid w:val="00A56E8B"/>
    <w:rsid w:val="00A673AB"/>
    <w:rsid w:val="00A6795F"/>
    <w:rsid w:val="00A82D6D"/>
    <w:rsid w:val="00A94BF4"/>
    <w:rsid w:val="00A96E62"/>
    <w:rsid w:val="00A97207"/>
    <w:rsid w:val="00AA09D1"/>
    <w:rsid w:val="00AA18C1"/>
    <w:rsid w:val="00AA2A8F"/>
    <w:rsid w:val="00AA30E9"/>
    <w:rsid w:val="00AA56D1"/>
    <w:rsid w:val="00AB3893"/>
    <w:rsid w:val="00AC076B"/>
    <w:rsid w:val="00AD4582"/>
    <w:rsid w:val="00AD572B"/>
    <w:rsid w:val="00AD70FE"/>
    <w:rsid w:val="00AE1762"/>
    <w:rsid w:val="00AE1AB4"/>
    <w:rsid w:val="00AF12B5"/>
    <w:rsid w:val="00AF49B8"/>
    <w:rsid w:val="00AF4D57"/>
    <w:rsid w:val="00B01C09"/>
    <w:rsid w:val="00B12E54"/>
    <w:rsid w:val="00B142D4"/>
    <w:rsid w:val="00B20B7C"/>
    <w:rsid w:val="00B247D4"/>
    <w:rsid w:val="00B327AA"/>
    <w:rsid w:val="00B3377D"/>
    <w:rsid w:val="00B34B4A"/>
    <w:rsid w:val="00B36FA3"/>
    <w:rsid w:val="00B37B88"/>
    <w:rsid w:val="00B40BC1"/>
    <w:rsid w:val="00B42BB7"/>
    <w:rsid w:val="00B44B74"/>
    <w:rsid w:val="00B47960"/>
    <w:rsid w:val="00B537FC"/>
    <w:rsid w:val="00B54C4E"/>
    <w:rsid w:val="00B5548B"/>
    <w:rsid w:val="00B56E51"/>
    <w:rsid w:val="00B643D7"/>
    <w:rsid w:val="00B71115"/>
    <w:rsid w:val="00B8069D"/>
    <w:rsid w:val="00B82322"/>
    <w:rsid w:val="00B82346"/>
    <w:rsid w:val="00B85F31"/>
    <w:rsid w:val="00B85FD4"/>
    <w:rsid w:val="00B92BD3"/>
    <w:rsid w:val="00B92D27"/>
    <w:rsid w:val="00B95A0A"/>
    <w:rsid w:val="00BA09BA"/>
    <w:rsid w:val="00BA0BD1"/>
    <w:rsid w:val="00BA1889"/>
    <w:rsid w:val="00BA2C2C"/>
    <w:rsid w:val="00BA3B0A"/>
    <w:rsid w:val="00BA6858"/>
    <w:rsid w:val="00BB6A1B"/>
    <w:rsid w:val="00BC5A1C"/>
    <w:rsid w:val="00BD43AB"/>
    <w:rsid w:val="00BD5A9C"/>
    <w:rsid w:val="00BE10AE"/>
    <w:rsid w:val="00BE15ED"/>
    <w:rsid w:val="00BF2310"/>
    <w:rsid w:val="00C010F7"/>
    <w:rsid w:val="00C04806"/>
    <w:rsid w:val="00C05905"/>
    <w:rsid w:val="00C10B43"/>
    <w:rsid w:val="00C1149A"/>
    <w:rsid w:val="00C128AE"/>
    <w:rsid w:val="00C12D4C"/>
    <w:rsid w:val="00C13BBE"/>
    <w:rsid w:val="00C14F19"/>
    <w:rsid w:val="00C2225E"/>
    <w:rsid w:val="00C307AF"/>
    <w:rsid w:val="00C32F2E"/>
    <w:rsid w:val="00C458EF"/>
    <w:rsid w:val="00C55E9F"/>
    <w:rsid w:val="00C6136D"/>
    <w:rsid w:val="00C61F36"/>
    <w:rsid w:val="00C65DC9"/>
    <w:rsid w:val="00C66022"/>
    <w:rsid w:val="00C66F86"/>
    <w:rsid w:val="00C67A7B"/>
    <w:rsid w:val="00C749D9"/>
    <w:rsid w:val="00C76CAC"/>
    <w:rsid w:val="00C8029E"/>
    <w:rsid w:val="00C8369B"/>
    <w:rsid w:val="00C8408B"/>
    <w:rsid w:val="00C90C84"/>
    <w:rsid w:val="00CA45C1"/>
    <w:rsid w:val="00CB3948"/>
    <w:rsid w:val="00CB7331"/>
    <w:rsid w:val="00CC179E"/>
    <w:rsid w:val="00CC1FE3"/>
    <w:rsid w:val="00CC3142"/>
    <w:rsid w:val="00CC347D"/>
    <w:rsid w:val="00CC3703"/>
    <w:rsid w:val="00CC3D53"/>
    <w:rsid w:val="00CC7641"/>
    <w:rsid w:val="00CD1CAA"/>
    <w:rsid w:val="00CD572D"/>
    <w:rsid w:val="00CF33E7"/>
    <w:rsid w:val="00CF5297"/>
    <w:rsid w:val="00CF5E60"/>
    <w:rsid w:val="00D05025"/>
    <w:rsid w:val="00D07416"/>
    <w:rsid w:val="00D12C4A"/>
    <w:rsid w:val="00D12D8D"/>
    <w:rsid w:val="00D15D71"/>
    <w:rsid w:val="00D209F1"/>
    <w:rsid w:val="00D279E4"/>
    <w:rsid w:val="00D41174"/>
    <w:rsid w:val="00D43A26"/>
    <w:rsid w:val="00D4536C"/>
    <w:rsid w:val="00D46B7A"/>
    <w:rsid w:val="00D46DF4"/>
    <w:rsid w:val="00D649BB"/>
    <w:rsid w:val="00D663BF"/>
    <w:rsid w:val="00D6693B"/>
    <w:rsid w:val="00D7225B"/>
    <w:rsid w:val="00D90084"/>
    <w:rsid w:val="00D949FF"/>
    <w:rsid w:val="00D9697A"/>
    <w:rsid w:val="00DA0C5B"/>
    <w:rsid w:val="00DA3ACC"/>
    <w:rsid w:val="00DA6F56"/>
    <w:rsid w:val="00DA7B80"/>
    <w:rsid w:val="00DB27FC"/>
    <w:rsid w:val="00DB393C"/>
    <w:rsid w:val="00DC1F8D"/>
    <w:rsid w:val="00DC5CCA"/>
    <w:rsid w:val="00DC6D8F"/>
    <w:rsid w:val="00DE3265"/>
    <w:rsid w:val="00DE71C0"/>
    <w:rsid w:val="00DE7C24"/>
    <w:rsid w:val="00DF42D4"/>
    <w:rsid w:val="00DF5A2C"/>
    <w:rsid w:val="00DF6C0F"/>
    <w:rsid w:val="00E05425"/>
    <w:rsid w:val="00E1525D"/>
    <w:rsid w:val="00E30A41"/>
    <w:rsid w:val="00E30D2A"/>
    <w:rsid w:val="00E33411"/>
    <w:rsid w:val="00E34977"/>
    <w:rsid w:val="00E34F70"/>
    <w:rsid w:val="00E3618B"/>
    <w:rsid w:val="00E3707E"/>
    <w:rsid w:val="00E43F00"/>
    <w:rsid w:val="00E52672"/>
    <w:rsid w:val="00E55514"/>
    <w:rsid w:val="00E63941"/>
    <w:rsid w:val="00E648FC"/>
    <w:rsid w:val="00E64C25"/>
    <w:rsid w:val="00E65BFA"/>
    <w:rsid w:val="00E7050A"/>
    <w:rsid w:val="00E72598"/>
    <w:rsid w:val="00E72E4E"/>
    <w:rsid w:val="00E76B49"/>
    <w:rsid w:val="00E77474"/>
    <w:rsid w:val="00E77592"/>
    <w:rsid w:val="00E81FF4"/>
    <w:rsid w:val="00E82666"/>
    <w:rsid w:val="00E841F4"/>
    <w:rsid w:val="00E84C6E"/>
    <w:rsid w:val="00E87992"/>
    <w:rsid w:val="00E90FD3"/>
    <w:rsid w:val="00E95F0F"/>
    <w:rsid w:val="00EA0C37"/>
    <w:rsid w:val="00EA2632"/>
    <w:rsid w:val="00EA415E"/>
    <w:rsid w:val="00EA4669"/>
    <w:rsid w:val="00EA7481"/>
    <w:rsid w:val="00EB4993"/>
    <w:rsid w:val="00EB7B1B"/>
    <w:rsid w:val="00EC02AE"/>
    <w:rsid w:val="00EC3512"/>
    <w:rsid w:val="00EC52EB"/>
    <w:rsid w:val="00ED0BCB"/>
    <w:rsid w:val="00ED244F"/>
    <w:rsid w:val="00EE13EB"/>
    <w:rsid w:val="00EE33B0"/>
    <w:rsid w:val="00EE6372"/>
    <w:rsid w:val="00EF24CF"/>
    <w:rsid w:val="00EF6F8E"/>
    <w:rsid w:val="00F058D7"/>
    <w:rsid w:val="00F079CC"/>
    <w:rsid w:val="00F10C24"/>
    <w:rsid w:val="00F10D62"/>
    <w:rsid w:val="00F12344"/>
    <w:rsid w:val="00F13B6D"/>
    <w:rsid w:val="00F1783F"/>
    <w:rsid w:val="00F22EA3"/>
    <w:rsid w:val="00F2668E"/>
    <w:rsid w:val="00F27157"/>
    <w:rsid w:val="00F3526A"/>
    <w:rsid w:val="00F44D4D"/>
    <w:rsid w:val="00F51768"/>
    <w:rsid w:val="00F625ED"/>
    <w:rsid w:val="00F74618"/>
    <w:rsid w:val="00F75158"/>
    <w:rsid w:val="00F82C1F"/>
    <w:rsid w:val="00F90AFF"/>
    <w:rsid w:val="00F91B07"/>
    <w:rsid w:val="00F96EA2"/>
    <w:rsid w:val="00FA14D0"/>
    <w:rsid w:val="00FA3883"/>
    <w:rsid w:val="00FA54BD"/>
    <w:rsid w:val="00FA6EB0"/>
    <w:rsid w:val="00FA79D3"/>
    <w:rsid w:val="00FB3014"/>
    <w:rsid w:val="00FB35B1"/>
    <w:rsid w:val="00FB6989"/>
    <w:rsid w:val="00FC11D9"/>
    <w:rsid w:val="00FC1D9B"/>
    <w:rsid w:val="00FC6C44"/>
    <w:rsid w:val="00FD0295"/>
    <w:rsid w:val="00FD0899"/>
    <w:rsid w:val="00FD62D5"/>
    <w:rsid w:val="00FE3D11"/>
    <w:rsid w:val="00FE62B9"/>
    <w:rsid w:val="00FF60FA"/>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5A93"/>
  <w15:chartTrackingRefBased/>
  <w15:docId w15:val="{4B797312-644D-4A19-B0AC-F665AEE4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33"/>
    <w:rPr>
      <w:rFonts w:ascii="Garamond" w:hAnsi="Garamond"/>
    </w:rPr>
  </w:style>
  <w:style w:type="paragraph" w:styleId="Heading1">
    <w:name w:val="heading 1"/>
    <w:basedOn w:val="Normal"/>
    <w:next w:val="Normal"/>
    <w:link w:val="Heading1Char"/>
    <w:uiPriority w:val="9"/>
    <w:qFormat/>
    <w:rsid w:val="005870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70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70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70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70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70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70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70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70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70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70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70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70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70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70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70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700C"/>
    <w:rPr>
      <w:rFonts w:eastAsiaTheme="majorEastAsia" w:cstheme="majorBidi"/>
      <w:color w:val="272727" w:themeColor="text1" w:themeTint="D8"/>
    </w:rPr>
  </w:style>
  <w:style w:type="paragraph" w:styleId="Title">
    <w:name w:val="Title"/>
    <w:basedOn w:val="Normal"/>
    <w:next w:val="Normal"/>
    <w:link w:val="TitleChar"/>
    <w:uiPriority w:val="10"/>
    <w:qFormat/>
    <w:rsid w:val="005870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0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0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70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700C"/>
    <w:pPr>
      <w:spacing w:before="160"/>
      <w:jc w:val="center"/>
    </w:pPr>
    <w:rPr>
      <w:i/>
      <w:iCs/>
      <w:color w:val="404040" w:themeColor="text1" w:themeTint="BF"/>
    </w:rPr>
  </w:style>
  <w:style w:type="character" w:customStyle="1" w:styleId="QuoteChar">
    <w:name w:val="Quote Char"/>
    <w:basedOn w:val="DefaultParagraphFont"/>
    <w:link w:val="Quote"/>
    <w:uiPriority w:val="29"/>
    <w:rsid w:val="0058700C"/>
    <w:rPr>
      <w:i/>
      <w:iCs/>
      <w:color w:val="404040" w:themeColor="text1" w:themeTint="BF"/>
    </w:rPr>
  </w:style>
  <w:style w:type="paragraph" w:styleId="ListParagraph">
    <w:name w:val="List Paragraph"/>
    <w:basedOn w:val="Normal"/>
    <w:uiPriority w:val="34"/>
    <w:qFormat/>
    <w:rsid w:val="0058700C"/>
    <w:pPr>
      <w:ind w:left="720"/>
      <w:contextualSpacing/>
    </w:pPr>
  </w:style>
  <w:style w:type="character" w:styleId="IntenseEmphasis">
    <w:name w:val="Intense Emphasis"/>
    <w:basedOn w:val="DefaultParagraphFont"/>
    <w:uiPriority w:val="21"/>
    <w:qFormat/>
    <w:rsid w:val="0058700C"/>
    <w:rPr>
      <w:i/>
      <w:iCs/>
      <w:color w:val="0F4761" w:themeColor="accent1" w:themeShade="BF"/>
    </w:rPr>
  </w:style>
  <w:style w:type="paragraph" w:styleId="IntenseQuote">
    <w:name w:val="Intense Quote"/>
    <w:basedOn w:val="Normal"/>
    <w:next w:val="Normal"/>
    <w:link w:val="IntenseQuoteChar"/>
    <w:uiPriority w:val="30"/>
    <w:qFormat/>
    <w:rsid w:val="005870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700C"/>
    <w:rPr>
      <w:i/>
      <w:iCs/>
      <w:color w:val="0F4761" w:themeColor="accent1" w:themeShade="BF"/>
    </w:rPr>
  </w:style>
  <w:style w:type="character" w:styleId="IntenseReference">
    <w:name w:val="Intense Reference"/>
    <w:basedOn w:val="DefaultParagraphFont"/>
    <w:uiPriority w:val="32"/>
    <w:qFormat/>
    <w:rsid w:val="0058700C"/>
    <w:rPr>
      <w:b/>
      <w:bCs/>
      <w:smallCaps/>
      <w:color w:val="0F4761" w:themeColor="accent1" w:themeShade="BF"/>
      <w:spacing w:val="5"/>
    </w:rPr>
  </w:style>
  <w:style w:type="paragraph" w:styleId="FootnoteText">
    <w:name w:val="footnote text"/>
    <w:basedOn w:val="Normal"/>
    <w:link w:val="FootnoteTextChar"/>
    <w:uiPriority w:val="99"/>
    <w:unhideWhenUsed/>
    <w:rsid w:val="00301E33"/>
    <w:pPr>
      <w:spacing w:after="0" w:line="240" w:lineRule="auto"/>
    </w:pPr>
    <w:rPr>
      <w:sz w:val="20"/>
      <w:szCs w:val="20"/>
    </w:rPr>
  </w:style>
  <w:style w:type="character" w:customStyle="1" w:styleId="FootnoteTextChar">
    <w:name w:val="Footnote Text Char"/>
    <w:basedOn w:val="DefaultParagraphFont"/>
    <w:link w:val="FootnoteText"/>
    <w:uiPriority w:val="99"/>
    <w:rsid w:val="00AE1762"/>
    <w:rPr>
      <w:sz w:val="20"/>
      <w:szCs w:val="20"/>
    </w:rPr>
  </w:style>
  <w:style w:type="character" w:styleId="FootnoteReference">
    <w:name w:val="footnote reference"/>
    <w:basedOn w:val="DefaultParagraphFont"/>
    <w:uiPriority w:val="99"/>
    <w:semiHidden/>
    <w:unhideWhenUsed/>
    <w:rsid w:val="00AE1762"/>
    <w:rPr>
      <w:vertAlign w:val="superscript"/>
    </w:rPr>
  </w:style>
  <w:style w:type="paragraph" w:customStyle="1" w:styleId="Footnotes">
    <w:name w:val="Footnotes"/>
    <w:basedOn w:val="FootnoteText"/>
    <w:link w:val="FootnotesChar"/>
    <w:qFormat/>
    <w:rsid w:val="00B34B4A"/>
  </w:style>
  <w:style w:type="character" w:customStyle="1" w:styleId="FootnotesChar">
    <w:name w:val="Footnotes Char"/>
    <w:basedOn w:val="FootnoteTextChar"/>
    <w:link w:val="Footnotes"/>
    <w:rsid w:val="00B34B4A"/>
    <w:rPr>
      <w:rFonts w:ascii="Garamond" w:hAnsi="Garamond"/>
      <w:sz w:val="20"/>
      <w:szCs w:val="20"/>
    </w:rPr>
  </w:style>
  <w:style w:type="character" w:styleId="Hyperlink">
    <w:name w:val="Hyperlink"/>
    <w:basedOn w:val="DefaultParagraphFont"/>
    <w:uiPriority w:val="99"/>
    <w:unhideWhenUsed/>
    <w:rsid w:val="00EC02AE"/>
    <w:rPr>
      <w:color w:val="467886" w:themeColor="hyperlink"/>
      <w:u w:val="single"/>
    </w:rPr>
  </w:style>
  <w:style w:type="character" w:styleId="UnresolvedMention">
    <w:name w:val="Unresolved Mention"/>
    <w:basedOn w:val="DefaultParagraphFont"/>
    <w:uiPriority w:val="99"/>
    <w:semiHidden/>
    <w:unhideWhenUsed/>
    <w:rsid w:val="00EC02AE"/>
    <w:rPr>
      <w:color w:val="605E5C"/>
      <w:shd w:val="clear" w:color="auto" w:fill="E1DFDD"/>
    </w:rPr>
  </w:style>
  <w:style w:type="paragraph" w:styleId="Header">
    <w:name w:val="header"/>
    <w:basedOn w:val="Normal"/>
    <w:link w:val="HeaderChar"/>
    <w:uiPriority w:val="99"/>
    <w:unhideWhenUsed/>
    <w:rsid w:val="001763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328"/>
    <w:rPr>
      <w:rFonts w:ascii="Garamond" w:hAnsi="Garamond"/>
    </w:rPr>
  </w:style>
  <w:style w:type="paragraph" w:styleId="Footer">
    <w:name w:val="footer"/>
    <w:basedOn w:val="Normal"/>
    <w:link w:val="FooterChar"/>
    <w:uiPriority w:val="99"/>
    <w:unhideWhenUsed/>
    <w:rsid w:val="001763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328"/>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8923">
      <w:bodyDiv w:val="1"/>
      <w:marLeft w:val="0"/>
      <w:marRight w:val="0"/>
      <w:marTop w:val="0"/>
      <w:marBottom w:val="0"/>
      <w:divBdr>
        <w:top w:val="none" w:sz="0" w:space="0" w:color="auto"/>
        <w:left w:val="none" w:sz="0" w:space="0" w:color="auto"/>
        <w:bottom w:val="none" w:sz="0" w:space="0" w:color="auto"/>
        <w:right w:val="none" w:sz="0" w:space="0" w:color="auto"/>
      </w:divBdr>
      <w:divsChild>
        <w:div w:id="1099333501">
          <w:marLeft w:val="0"/>
          <w:marRight w:val="0"/>
          <w:marTop w:val="0"/>
          <w:marBottom w:val="0"/>
          <w:divBdr>
            <w:top w:val="none" w:sz="0" w:space="0" w:color="auto"/>
            <w:left w:val="none" w:sz="0" w:space="0" w:color="auto"/>
            <w:bottom w:val="none" w:sz="0" w:space="0" w:color="auto"/>
            <w:right w:val="none" w:sz="0" w:space="0" w:color="auto"/>
          </w:divBdr>
        </w:div>
      </w:divsChild>
    </w:div>
    <w:div w:id="639269669">
      <w:bodyDiv w:val="1"/>
      <w:marLeft w:val="0"/>
      <w:marRight w:val="0"/>
      <w:marTop w:val="0"/>
      <w:marBottom w:val="0"/>
      <w:divBdr>
        <w:top w:val="none" w:sz="0" w:space="0" w:color="auto"/>
        <w:left w:val="none" w:sz="0" w:space="0" w:color="auto"/>
        <w:bottom w:val="none" w:sz="0" w:space="0" w:color="auto"/>
        <w:right w:val="none" w:sz="0" w:space="0" w:color="auto"/>
      </w:divBdr>
    </w:div>
    <w:div w:id="964698647">
      <w:bodyDiv w:val="1"/>
      <w:marLeft w:val="0"/>
      <w:marRight w:val="0"/>
      <w:marTop w:val="0"/>
      <w:marBottom w:val="0"/>
      <w:divBdr>
        <w:top w:val="none" w:sz="0" w:space="0" w:color="auto"/>
        <w:left w:val="none" w:sz="0" w:space="0" w:color="auto"/>
        <w:bottom w:val="none" w:sz="0" w:space="0" w:color="auto"/>
        <w:right w:val="none" w:sz="0" w:space="0" w:color="auto"/>
      </w:divBdr>
    </w:div>
    <w:div w:id="1307197905">
      <w:bodyDiv w:val="1"/>
      <w:marLeft w:val="0"/>
      <w:marRight w:val="0"/>
      <w:marTop w:val="0"/>
      <w:marBottom w:val="0"/>
      <w:divBdr>
        <w:top w:val="none" w:sz="0" w:space="0" w:color="auto"/>
        <w:left w:val="none" w:sz="0" w:space="0" w:color="auto"/>
        <w:bottom w:val="none" w:sz="0" w:space="0" w:color="auto"/>
        <w:right w:val="none" w:sz="0" w:space="0" w:color="auto"/>
      </w:divBdr>
      <w:divsChild>
        <w:div w:id="1671372834">
          <w:marLeft w:val="0"/>
          <w:marRight w:val="0"/>
          <w:marTop w:val="0"/>
          <w:marBottom w:val="0"/>
          <w:divBdr>
            <w:top w:val="none" w:sz="0" w:space="0" w:color="auto"/>
            <w:left w:val="none" w:sz="0" w:space="0" w:color="auto"/>
            <w:bottom w:val="none" w:sz="0" w:space="0" w:color="auto"/>
            <w:right w:val="none" w:sz="0" w:space="0" w:color="auto"/>
          </w:divBdr>
        </w:div>
      </w:divsChild>
    </w:div>
    <w:div w:id="1506550898">
      <w:bodyDiv w:val="1"/>
      <w:marLeft w:val="0"/>
      <w:marRight w:val="0"/>
      <w:marTop w:val="0"/>
      <w:marBottom w:val="0"/>
      <w:divBdr>
        <w:top w:val="none" w:sz="0" w:space="0" w:color="auto"/>
        <w:left w:val="none" w:sz="0" w:space="0" w:color="auto"/>
        <w:bottom w:val="none" w:sz="0" w:space="0" w:color="auto"/>
        <w:right w:val="none" w:sz="0" w:space="0" w:color="auto"/>
      </w:divBdr>
      <w:divsChild>
        <w:div w:id="783572971">
          <w:marLeft w:val="0"/>
          <w:marRight w:val="0"/>
          <w:marTop w:val="0"/>
          <w:marBottom w:val="0"/>
          <w:divBdr>
            <w:top w:val="none" w:sz="0" w:space="0" w:color="auto"/>
            <w:left w:val="none" w:sz="0" w:space="0" w:color="auto"/>
            <w:bottom w:val="none" w:sz="0" w:space="0" w:color="auto"/>
            <w:right w:val="none" w:sz="0" w:space="0" w:color="auto"/>
          </w:divBdr>
        </w:div>
      </w:divsChild>
    </w:div>
    <w:div w:id="2000115119">
      <w:bodyDiv w:val="1"/>
      <w:marLeft w:val="0"/>
      <w:marRight w:val="0"/>
      <w:marTop w:val="0"/>
      <w:marBottom w:val="0"/>
      <w:divBdr>
        <w:top w:val="none" w:sz="0" w:space="0" w:color="auto"/>
        <w:left w:val="none" w:sz="0" w:space="0" w:color="auto"/>
        <w:bottom w:val="none" w:sz="0" w:space="0" w:color="auto"/>
        <w:right w:val="none" w:sz="0" w:space="0" w:color="auto"/>
      </w:divBdr>
      <w:divsChild>
        <w:div w:id="193870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2374-2AB0-4276-82E7-4A4E8FB3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1056</Words>
  <Characters>6730</Characters>
  <Application>Microsoft Office Word</Application>
  <DocSecurity>0</DocSecurity>
  <Lines>146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Maioli</dc:creator>
  <cp:keywords/>
  <dc:description/>
  <cp:lastModifiedBy>Roger Maioli</cp:lastModifiedBy>
  <cp:revision>3</cp:revision>
  <dcterms:created xsi:type="dcterms:W3CDTF">2025-04-13T14:38:00Z</dcterms:created>
  <dcterms:modified xsi:type="dcterms:W3CDTF">2025-04-13T14:39:00Z</dcterms:modified>
</cp:coreProperties>
</file>